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40E2F7" w14:textId="77777777" w:rsidR="00A1243D" w:rsidRDefault="00A1243D" w:rsidP="00A1243D">
      <w:pPr>
        <w:pStyle w:val="Titolo1"/>
      </w:pPr>
      <w:r>
        <w:t>CAPITOLO TERZO – Le religioni storiche del passato</w:t>
      </w:r>
    </w:p>
    <w:p w14:paraId="410FAD3B" w14:textId="77777777" w:rsidR="00A76EB4" w:rsidRPr="00A76EB4" w:rsidRDefault="00A76EB4" w:rsidP="00A76EB4">
      <w:pPr>
        <w:spacing w:after="0"/>
      </w:pPr>
    </w:p>
    <w:p w14:paraId="0C94AE84" w14:textId="3A46772B" w:rsidR="00A76EB4" w:rsidRPr="00A76EB4" w:rsidRDefault="003F6AB5" w:rsidP="005B0DF0">
      <w:pPr>
        <w:pStyle w:val="Titolo2"/>
        <w:spacing w:before="0"/>
      </w:pPr>
      <w:r>
        <w:t>1</w:t>
      </w:r>
      <w:r w:rsidR="00A76EB4">
        <w:t>. La Mesopotamia</w:t>
      </w:r>
    </w:p>
    <w:p w14:paraId="15C4DAB3" w14:textId="3E1F68EB" w:rsidR="000C1949" w:rsidRDefault="000C1949" w:rsidP="000C1949">
      <w:pPr>
        <w:pStyle w:val="Titolo3"/>
      </w:pPr>
      <w:r>
        <w:t>1. Città stato e distribuzione degli dei</w:t>
      </w:r>
    </w:p>
    <w:p w14:paraId="181B55CB" w14:textId="2CC27466" w:rsidR="005B0DF0" w:rsidRDefault="005B0DF0" w:rsidP="005B0DF0">
      <w:pPr>
        <w:spacing w:after="0"/>
      </w:pPr>
      <w:r>
        <w:t>I popoli della Mesopotamia, Sumeri e Semiti (Kish, Accadi, Babilonesi, Assiri, Amorrei, Aramei) e unità della religione mesopotamica</w:t>
      </w:r>
      <w:r w:rsidR="000C1949">
        <w:t>)</w:t>
      </w:r>
    </w:p>
    <w:p w14:paraId="598B66E8" w14:textId="358D49B2" w:rsidR="000C1949" w:rsidRDefault="000C1949" w:rsidP="000C1949">
      <w:pPr>
        <w:pStyle w:val="Titolo3"/>
      </w:pPr>
      <w:r>
        <w:t>2.Il pantheon e la mitologia</w:t>
      </w:r>
    </w:p>
    <w:p w14:paraId="26248AD6" w14:textId="396BB350" w:rsidR="000C1949" w:rsidRDefault="000C1949" w:rsidP="000C1949">
      <w:pPr>
        <w:pStyle w:val="Titolo4"/>
      </w:pPr>
      <w:r>
        <w:t>1. Triade cosmica e triade astrale</w:t>
      </w:r>
    </w:p>
    <w:p w14:paraId="54946D06" w14:textId="78FD3D45" w:rsidR="00A1243D" w:rsidRDefault="005B0DF0" w:rsidP="005B0DF0">
      <w:pPr>
        <w:spacing w:after="0"/>
      </w:pPr>
      <w:r>
        <w:t>La fondamentale cultura sumerica e il suo assorbimento dai popoli successivi</w:t>
      </w:r>
      <w:r w:rsidR="00CD34EB">
        <w:t xml:space="preserve"> (dal 2650 a. C. in poi)</w:t>
      </w:r>
    </w:p>
    <w:p w14:paraId="131C77AC" w14:textId="77777777" w:rsidR="00CD34EB" w:rsidRDefault="00CD34EB" w:rsidP="005B0DF0">
      <w:pPr>
        <w:spacing w:after="0"/>
      </w:pPr>
      <w:r>
        <w:t>Dalla dea madre al dio: dingir /ilum = an: stella/cielo sede della divinità =&gt; qadmu: colui che sta davanti, il primo</w:t>
      </w:r>
    </w:p>
    <w:p w14:paraId="60CC2999" w14:textId="2AC75558" w:rsidR="00CD34EB" w:rsidRDefault="00CD34EB" w:rsidP="005B0DF0">
      <w:pPr>
        <w:spacing w:after="0"/>
      </w:pPr>
      <w:r>
        <w:t>Dio An/Anum = cielo</w:t>
      </w:r>
      <w:r w:rsidR="00FC6467">
        <w:t xml:space="preserve"> (cfr. poema Enuma elish) “creatore di se stesso”</w:t>
      </w:r>
      <w:r>
        <w:t xml:space="preserve"> = padre di tutti gli dei </w:t>
      </w:r>
      <w:r w:rsidR="00FC6467">
        <w:t>(Enlil, gli dei che condividono la potenza divina)</w:t>
      </w:r>
    </w:p>
    <w:p w14:paraId="3C21CF29" w14:textId="704E3E12" w:rsidR="000C1949" w:rsidRDefault="000C1949" w:rsidP="000C1949">
      <w:pPr>
        <w:pStyle w:val="Titolo4"/>
      </w:pPr>
      <w:r>
        <w:t>2. teogonia, cosmogonia e antropogonia</w:t>
      </w:r>
    </w:p>
    <w:p w14:paraId="07110118" w14:textId="53DA141A" w:rsidR="00FC6467" w:rsidRDefault="00FC6467" w:rsidP="00FC6467">
      <w:pPr>
        <w:pStyle w:val="Paragrafoelenco"/>
        <w:numPr>
          <w:ilvl w:val="0"/>
          <w:numId w:val="1"/>
        </w:numPr>
        <w:spacing w:after="0"/>
      </w:pPr>
      <w:r>
        <w:t>Dio come potenza che incute religioso timore cfr. il mito di Gilgamesh</w:t>
      </w:r>
    </w:p>
    <w:p w14:paraId="70421869" w14:textId="22942AA2" w:rsidR="00FC6467" w:rsidRDefault="00FC6467" w:rsidP="00FC6467">
      <w:pPr>
        <w:pStyle w:val="Paragrafoelenco"/>
        <w:numPr>
          <w:ilvl w:val="0"/>
          <w:numId w:val="1"/>
        </w:numPr>
        <w:spacing w:after="0"/>
      </w:pPr>
      <w:r>
        <w:t>Antropomorfismo e personificazione analogica (aquila, toro…) =&gt; trascendenza</w:t>
      </w:r>
    </w:p>
    <w:p w14:paraId="7A3FCD7E" w14:textId="29345F8C" w:rsidR="00FC6467" w:rsidRDefault="00FC6467" w:rsidP="00FC6467">
      <w:pPr>
        <w:pStyle w:val="Paragrafoelenco"/>
        <w:numPr>
          <w:ilvl w:val="0"/>
          <w:numId w:val="1"/>
        </w:numPr>
        <w:spacing w:after="0"/>
      </w:pPr>
      <w:r>
        <w:t>Dio è “persona” =&gt; appellato come “Signore”</w:t>
      </w:r>
    </w:p>
    <w:p w14:paraId="59423767" w14:textId="0E4603E2" w:rsidR="00FC6467" w:rsidRDefault="00FC6467" w:rsidP="00FC6467">
      <w:pPr>
        <w:pStyle w:val="Paragrafoelenco"/>
        <w:numPr>
          <w:ilvl w:val="0"/>
          <w:numId w:val="1"/>
        </w:numPr>
        <w:spacing w:after="0"/>
      </w:pPr>
      <w:r>
        <w:t>Superpotenza (non onnipotenza) e parola divina creatrice</w:t>
      </w:r>
    </w:p>
    <w:p w14:paraId="2F0F9BC4" w14:textId="4EFFF3C6" w:rsidR="00FC6467" w:rsidRDefault="00FC6467" w:rsidP="00FC6467">
      <w:pPr>
        <w:pStyle w:val="Paragrafoelenco"/>
        <w:numPr>
          <w:ilvl w:val="0"/>
          <w:numId w:val="1"/>
        </w:numPr>
        <w:spacing w:after="0"/>
      </w:pPr>
      <w:r>
        <w:t>Sapienza (non onniscienza)</w:t>
      </w:r>
    </w:p>
    <w:p w14:paraId="4C37DEC0" w14:textId="6AEB1719" w:rsidR="00FC6467" w:rsidRDefault="00FC6467" w:rsidP="00FC6467">
      <w:pPr>
        <w:pStyle w:val="Paragrafoelenco"/>
        <w:numPr>
          <w:ilvl w:val="0"/>
          <w:numId w:val="1"/>
        </w:numPr>
        <w:spacing w:after="0"/>
      </w:pPr>
      <w:r>
        <w:t xml:space="preserve">Non eterno ma immortale </w:t>
      </w:r>
    </w:p>
    <w:p w14:paraId="57E2084D" w14:textId="79161C8F" w:rsidR="00FC6467" w:rsidRDefault="00FC6467" w:rsidP="00FC6467">
      <w:pPr>
        <w:pStyle w:val="Paragrafoelenco"/>
        <w:numPr>
          <w:ilvl w:val="0"/>
          <w:numId w:val="1"/>
        </w:numPr>
        <w:spacing w:after="0"/>
      </w:pPr>
      <w:r>
        <w:t>Gerarchia di dei e semidei (divinizzazione fenomeni naturali): sincretismo – monoteismo e politeismo</w:t>
      </w:r>
    </w:p>
    <w:p w14:paraId="60529DAC" w14:textId="3B43605B" w:rsidR="00FC6467" w:rsidRDefault="00FC6467" w:rsidP="00FC6467">
      <w:pPr>
        <w:pStyle w:val="Paragrafoelenco"/>
        <w:numPr>
          <w:ilvl w:val="0"/>
          <w:numId w:val="1"/>
        </w:numPr>
        <w:spacing w:after="0"/>
      </w:pPr>
      <w:r>
        <w:t>Il rapporto Dio -uomo:</w:t>
      </w:r>
    </w:p>
    <w:p w14:paraId="22D46345" w14:textId="245CA480" w:rsidR="00FC6467" w:rsidRDefault="00FC6467" w:rsidP="00FC6467">
      <w:pPr>
        <w:pStyle w:val="Paragrafoelenco"/>
        <w:spacing w:after="0"/>
      </w:pPr>
      <w:r>
        <w:t>l’uomo è stato creato direttamente da Dio ed è stato da lui dotato di caratteristiche divine</w:t>
      </w:r>
      <w:r w:rsidR="009C2233">
        <w:t xml:space="preserve"> (cfr. i miti della creazione e del destino dell’uomo)</w:t>
      </w:r>
    </w:p>
    <w:p w14:paraId="76C79282" w14:textId="7B724EBE" w:rsidR="00FC6467" w:rsidRDefault="009C2233" w:rsidP="00FC6467">
      <w:pPr>
        <w:pStyle w:val="Paragrafoelenco"/>
        <w:spacing w:after="0"/>
      </w:pPr>
      <w:r>
        <w:t>l’uomo è stato creato per prestare servizio agli dei</w:t>
      </w:r>
    </w:p>
    <w:p w14:paraId="6B43D9A3" w14:textId="1C4F1277" w:rsidR="009C2233" w:rsidRDefault="009C2233" w:rsidP="00FC6467">
      <w:pPr>
        <w:pStyle w:val="Paragrafoelenco"/>
        <w:spacing w:after="0"/>
      </w:pPr>
      <w:r>
        <w:t>l’uomo ha un rapporto di libertà col dio (=&gt; peccato, pentimento, penitenza, giustizia divina)</w:t>
      </w:r>
    </w:p>
    <w:p w14:paraId="20840E4A" w14:textId="40FCECE8" w:rsidR="009C2233" w:rsidRDefault="009C2233" w:rsidP="00FC6467">
      <w:pPr>
        <w:pStyle w:val="Paragrafoelenco"/>
        <w:spacing w:after="0"/>
      </w:pPr>
      <w:r>
        <w:t>l’uomo ha diverse vie per accedere al dio: preghiera e devozione personale, culto, divinazione e profetismo</w:t>
      </w:r>
    </w:p>
    <w:p w14:paraId="454B9FA5" w14:textId="20BDA513" w:rsidR="000C1949" w:rsidRDefault="007F2744" w:rsidP="007F2744">
      <w:pPr>
        <w:pStyle w:val="Titolo3"/>
      </w:pPr>
      <w:r>
        <w:t>3</w:t>
      </w:r>
      <w:r w:rsidR="000C1949">
        <w:t xml:space="preserve">.  </w:t>
      </w:r>
      <w:r>
        <w:t>Siria e Palestina</w:t>
      </w:r>
    </w:p>
    <w:p w14:paraId="62F98ED5" w14:textId="48AEDDBC" w:rsidR="00CD34EB" w:rsidRDefault="000C1949" w:rsidP="005B0DF0">
      <w:pPr>
        <w:spacing w:after="0"/>
      </w:pPr>
      <w:r>
        <w:t xml:space="preserve">Ur, Ugarit, </w:t>
      </w:r>
      <w:r w:rsidR="009C2233">
        <w:t>Ebla: politeismo (divinità cananee, circa 500, Dabir, Dagan, Kakkab, Astar/Astarte, Tiamat) ed enoteismo</w:t>
      </w:r>
    </w:p>
    <w:p w14:paraId="5694E871" w14:textId="3EBA2FA3" w:rsidR="009C2233" w:rsidRDefault="009C2233" w:rsidP="005B0DF0">
      <w:pPr>
        <w:spacing w:after="0"/>
      </w:pPr>
      <w:r>
        <w:t xml:space="preserve">Baal </w:t>
      </w:r>
    </w:p>
    <w:p w14:paraId="07C26526" w14:textId="4E1B75AA" w:rsidR="009C2233" w:rsidRDefault="009C2233" w:rsidP="005B0DF0">
      <w:pPr>
        <w:spacing w:after="0"/>
      </w:pPr>
      <w:r>
        <w:t>Il/El = dio</w:t>
      </w:r>
      <w:r w:rsidR="00997148">
        <w:t xml:space="preserve"> /divino</w:t>
      </w:r>
    </w:p>
    <w:p w14:paraId="1C539C50" w14:textId="3C568975" w:rsidR="009C2233" w:rsidRDefault="009C2233" w:rsidP="005B0DF0">
      <w:pPr>
        <w:spacing w:after="0"/>
      </w:pPr>
      <w:r>
        <w:t>Ya(w)</w:t>
      </w:r>
      <w:r w:rsidR="00997148">
        <w:t xml:space="preserve"> = dio in assoluto</w:t>
      </w:r>
    </w:p>
    <w:p w14:paraId="6CCB3CCB" w14:textId="77777777" w:rsidR="00122EA3" w:rsidRDefault="00122EA3" w:rsidP="009E08D9">
      <w:pPr>
        <w:pStyle w:val="Titolo2"/>
        <w:spacing w:before="0"/>
      </w:pPr>
    </w:p>
    <w:p w14:paraId="459C6975" w14:textId="2D9CA0A2" w:rsidR="003F6AB5" w:rsidRDefault="003F6AB5" w:rsidP="003F6AB5">
      <w:pPr>
        <w:pStyle w:val="Titolo2"/>
      </w:pPr>
      <w:r>
        <w:t>2. L’Egitto</w:t>
      </w:r>
    </w:p>
    <w:p w14:paraId="11D07D72" w14:textId="3D07A5F2" w:rsidR="007F2744" w:rsidRDefault="007F2744" w:rsidP="0004252D">
      <w:pPr>
        <w:pStyle w:val="Paragrafoelenco"/>
        <w:numPr>
          <w:ilvl w:val="0"/>
          <w:numId w:val="7"/>
        </w:numPr>
        <w:spacing w:after="0"/>
      </w:pPr>
      <w:r>
        <w:t>L’aldilà e il culto dei morti</w:t>
      </w:r>
    </w:p>
    <w:p w14:paraId="1C8698A7" w14:textId="26728120" w:rsidR="003F6AB5" w:rsidRDefault="003F6AB5" w:rsidP="0004252D">
      <w:pPr>
        <w:pStyle w:val="Paragrafoelenco"/>
        <w:numPr>
          <w:ilvl w:val="0"/>
          <w:numId w:val="7"/>
        </w:numPr>
        <w:spacing w:after="0"/>
      </w:pPr>
      <w:r>
        <w:t xml:space="preserve">I testi antichi delle piramidi: miti e rituali (Monologo di Atum: l’Essere </w:t>
      </w:r>
      <w:r w:rsidRPr="0004252D">
        <w:rPr>
          <w:i/>
          <w:iCs/>
        </w:rPr>
        <w:t>cfr. testo dell’inno</w:t>
      </w:r>
      <w:r>
        <w:t>)</w:t>
      </w:r>
    </w:p>
    <w:p w14:paraId="729B0EC3" w14:textId="77777777" w:rsidR="003F6AB5" w:rsidRDefault="003F6AB5" w:rsidP="0004252D">
      <w:pPr>
        <w:pStyle w:val="Paragrafoelenco"/>
        <w:numPr>
          <w:ilvl w:val="0"/>
          <w:numId w:val="7"/>
        </w:numPr>
        <w:spacing w:after="0"/>
      </w:pPr>
      <w:r>
        <w:t>Eliopoli, città del Sole, il Sole increato le Enneadi e i racconti della creazione (III – IV dinastia)</w:t>
      </w:r>
    </w:p>
    <w:p w14:paraId="419255B6" w14:textId="77777777" w:rsidR="003F6AB5" w:rsidRDefault="003F6AB5" w:rsidP="0004252D">
      <w:pPr>
        <w:pStyle w:val="Paragrafoelenco"/>
        <w:numPr>
          <w:ilvl w:val="0"/>
          <w:numId w:val="7"/>
        </w:numPr>
        <w:spacing w:after="0"/>
      </w:pPr>
      <w:r>
        <w:t>Il culto del Sole, Ra: l’enoteismo e la sua rappresentazione nel Faraone</w:t>
      </w:r>
    </w:p>
    <w:p w14:paraId="25EEFF29" w14:textId="77777777" w:rsidR="003F6AB5" w:rsidRDefault="003F6AB5" w:rsidP="0004252D">
      <w:pPr>
        <w:pStyle w:val="Paragrafoelenco"/>
        <w:numPr>
          <w:ilvl w:val="0"/>
          <w:numId w:val="7"/>
        </w:numPr>
        <w:spacing w:after="0"/>
      </w:pPr>
      <w:r>
        <w:t>Ammon (Tebe, 2000 a. C.) =&gt; Ammon-Ra: il sole Ra re degli dei</w:t>
      </w:r>
    </w:p>
    <w:p w14:paraId="5CBF8BC7" w14:textId="69760097" w:rsidR="003F6AB5" w:rsidRDefault="003F6AB5" w:rsidP="0004252D">
      <w:pPr>
        <w:pStyle w:val="Paragrafoelenco"/>
        <w:numPr>
          <w:ilvl w:val="0"/>
          <w:numId w:val="7"/>
        </w:numPr>
        <w:spacing w:after="0"/>
      </w:pPr>
      <w:r>
        <w:t>Akhenaton (1350 a.C.): il Dio solare Aton</w:t>
      </w:r>
    </w:p>
    <w:p w14:paraId="6F018C3A" w14:textId="326043A6" w:rsidR="007F2744" w:rsidRDefault="007F2744" w:rsidP="0004252D">
      <w:pPr>
        <w:pStyle w:val="Paragrafoelenco"/>
        <w:numPr>
          <w:ilvl w:val="0"/>
          <w:numId w:val="7"/>
        </w:numPr>
        <w:spacing w:after="0"/>
      </w:pPr>
      <w:r>
        <w:t>Il pantheon e la mitologia</w:t>
      </w:r>
    </w:p>
    <w:p w14:paraId="32101484" w14:textId="0FD8D270" w:rsidR="007F2744" w:rsidRPr="00A76EB4" w:rsidRDefault="007F2744" w:rsidP="0004252D">
      <w:pPr>
        <w:pStyle w:val="Paragrafoelenco"/>
        <w:numPr>
          <w:ilvl w:val="0"/>
          <w:numId w:val="7"/>
        </w:numPr>
        <w:spacing w:after="0"/>
      </w:pPr>
      <w:r>
        <w:t>Il culto: feste, riti, sacrifici.</w:t>
      </w:r>
    </w:p>
    <w:p w14:paraId="7C189403" w14:textId="29A08B5C" w:rsidR="003F6AB5" w:rsidRDefault="003F6AB5" w:rsidP="005B0DF0">
      <w:pPr>
        <w:spacing w:after="0"/>
      </w:pPr>
    </w:p>
    <w:p w14:paraId="0F0F18E6" w14:textId="2BB15F2E" w:rsidR="003F6AB5" w:rsidRDefault="003F6AB5" w:rsidP="009E08D9">
      <w:pPr>
        <w:pStyle w:val="Titolo2"/>
        <w:spacing w:before="0"/>
      </w:pPr>
      <w:r>
        <w:t xml:space="preserve">3. </w:t>
      </w:r>
      <w:r w:rsidR="00967FEA">
        <w:t>Le religioni iraniche</w:t>
      </w:r>
      <w:r>
        <w:t xml:space="preserve"> e indoeurope</w:t>
      </w:r>
      <w:r w:rsidR="00967FEA">
        <w:t>e</w:t>
      </w:r>
    </w:p>
    <w:p w14:paraId="2FC799B8" w14:textId="2B06536C" w:rsidR="00967FEA" w:rsidRDefault="00967FEA" w:rsidP="00967FEA">
      <w:pPr>
        <w:pStyle w:val="Paragrafoelenco"/>
        <w:numPr>
          <w:ilvl w:val="0"/>
          <w:numId w:val="3"/>
        </w:numPr>
      </w:pPr>
      <w:r>
        <w:t>le popolazioni iraniche</w:t>
      </w:r>
      <w:r w:rsidR="007F2744">
        <w:t>: Medi e Sciti</w:t>
      </w:r>
    </w:p>
    <w:p w14:paraId="67273ABB" w14:textId="49E5EB6E" w:rsidR="00967FEA" w:rsidRDefault="00967FEA" w:rsidP="00967FEA">
      <w:pPr>
        <w:pStyle w:val="Paragrafoelenco"/>
        <w:numPr>
          <w:ilvl w:val="0"/>
          <w:numId w:val="3"/>
        </w:numPr>
      </w:pPr>
      <w:r>
        <w:t>la sistemazione “tripartita” indo</w:t>
      </w:r>
      <w:r w:rsidR="007F2744">
        <w:t>europea</w:t>
      </w:r>
    </w:p>
    <w:p w14:paraId="69D001CE" w14:textId="52F8BA4B" w:rsidR="00967FEA" w:rsidRDefault="00967FEA" w:rsidP="009E08D9">
      <w:pPr>
        <w:pStyle w:val="Paragrafoelenco"/>
        <w:numPr>
          <w:ilvl w:val="0"/>
          <w:numId w:val="3"/>
        </w:numPr>
        <w:spacing w:after="0"/>
      </w:pPr>
      <w:r>
        <w:t>Il parsism</w:t>
      </w:r>
      <w:r w:rsidR="0086349B">
        <w:t>o</w:t>
      </w:r>
      <w:r>
        <w:t xml:space="preserve"> in Iran</w:t>
      </w:r>
      <w:r w:rsidR="007F2744">
        <w:t>: Mithra, il culto, i Magi.</w:t>
      </w:r>
    </w:p>
    <w:p w14:paraId="0B72DB45" w14:textId="77777777" w:rsidR="009E08D9" w:rsidRDefault="009E08D9" w:rsidP="009E08D9">
      <w:pPr>
        <w:pStyle w:val="Titolo2"/>
        <w:spacing w:before="0"/>
      </w:pPr>
    </w:p>
    <w:p w14:paraId="540D4DF1" w14:textId="62AFC058" w:rsidR="003F6AB5" w:rsidRDefault="003F6AB5" w:rsidP="009E08D9">
      <w:pPr>
        <w:pStyle w:val="Titolo2"/>
        <w:spacing w:before="0"/>
      </w:pPr>
      <w:r>
        <w:t xml:space="preserve">4. Grecia </w:t>
      </w:r>
    </w:p>
    <w:p w14:paraId="36456B10" w14:textId="6C9A3480" w:rsidR="00967FEA" w:rsidRDefault="00967FEA" w:rsidP="00967FEA">
      <w:pPr>
        <w:pStyle w:val="Paragrafoelenco"/>
        <w:numPr>
          <w:ilvl w:val="0"/>
          <w:numId w:val="4"/>
        </w:numPr>
      </w:pPr>
      <w:r>
        <w:t>le esperienze autoctone</w:t>
      </w:r>
      <w:r w:rsidR="007F2744">
        <w:t>. Micenei e Minoici</w:t>
      </w:r>
    </w:p>
    <w:p w14:paraId="7D69929B" w14:textId="72DD0669" w:rsidR="00967FEA" w:rsidRDefault="00967FEA" w:rsidP="00967FEA">
      <w:pPr>
        <w:pStyle w:val="Paragrafoelenco"/>
        <w:numPr>
          <w:ilvl w:val="0"/>
          <w:numId w:val="4"/>
        </w:numPr>
      </w:pPr>
      <w:r>
        <w:lastRenderedPageBreak/>
        <w:t>gli influssi indoeuropei</w:t>
      </w:r>
    </w:p>
    <w:p w14:paraId="244BEA59" w14:textId="7ED98E90" w:rsidR="007F2744" w:rsidRDefault="007F2744" w:rsidP="00967FEA">
      <w:pPr>
        <w:pStyle w:val="Paragrafoelenco"/>
        <w:numPr>
          <w:ilvl w:val="0"/>
          <w:numId w:val="4"/>
        </w:numPr>
      </w:pPr>
      <w:r>
        <w:t>Il pantheon dall’epica omerica alla polis</w:t>
      </w:r>
      <w:r w:rsidR="0004252D">
        <w:t>: la religione della città e i misteri di appartenenza alla polis</w:t>
      </w:r>
    </w:p>
    <w:p w14:paraId="604F2E67" w14:textId="0B1E0A2C" w:rsidR="007F2744" w:rsidRPr="00967FEA" w:rsidRDefault="007F2744" w:rsidP="00967FEA">
      <w:pPr>
        <w:pStyle w:val="Paragrafoelenco"/>
        <w:numPr>
          <w:ilvl w:val="0"/>
          <w:numId w:val="4"/>
        </w:numPr>
      </w:pPr>
      <w:r>
        <w:t>Sopravvalutazione e svalutazione della mitologia</w:t>
      </w:r>
    </w:p>
    <w:p w14:paraId="434E47E7" w14:textId="6CBF686E" w:rsidR="003F6AB5" w:rsidRDefault="003F6AB5" w:rsidP="003F6AB5">
      <w:pPr>
        <w:pStyle w:val="Titolo2"/>
      </w:pPr>
      <w:r>
        <w:t>5. Celti e Germani</w:t>
      </w:r>
    </w:p>
    <w:p w14:paraId="10468A07" w14:textId="654B68EF" w:rsidR="00967FEA" w:rsidRDefault="0004252D" w:rsidP="00967FEA">
      <w:pPr>
        <w:pStyle w:val="Paragrafoelenco"/>
        <w:numPr>
          <w:ilvl w:val="0"/>
          <w:numId w:val="5"/>
        </w:numPr>
      </w:pPr>
      <w:r>
        <w:t xml:space="preserve">I Celti e </w:t>
      </w:r>
      <w:r w:rsidR="00967FEA">
        <w:t>le esperienze autoctone</w:t>
      </w:r>
    </w:p>
    <w:p w14:paraId="1905846D" w14:textId="4E5D4478" w:rsidR="0004252D" w:rsidRDefault="0004252D" w:rsidP="00967FEA">
      <w:pPr>
        <w:pStyle w:val="Paragrafoelenco"/>
        <w:numPr>
          <w:ilvl w:val="0"/>
          <w:numId w:val="5"/>
        </w:numPr>
      </w:pPr>
      <w:r>
        <w:t>Il druidismo e la trasmigrazione delle anime</w:t>
      </w:r>
    </w:p>
    <w:p w14:paraId="6B188C6D" w14:textId="68668B7D" w:rsidR="0004252D" w:rsidRDefault="0004252D" w:rsidP="00967FEA">
      <w:pPr>
        <w:pStyle w:val="Paragrafoelenco"/>
        <w:numPr>
          <w:ilvl w:val="0"/>
          <w:numId w:val="5"/>
        </w:numPr>
      </w:pPr>
      <w:r>
        <w:t>I Germani: mitologia e pantheon</w:t>
      </w:r>
    </w:p>
    <w:p w14:paraId="7D29DAD2" w14:textId="0C13FBC8" w:rsidR="00967FEA" w:rsidRPr="00967FEA" w:rsidRDefault="0004252D" w:rsidP="00967FEA">
      <w:pPr>
        <w:pStyle w:val="Paragrafoelenco"/>
        <w:numPr>
          <w:ilvl w:val="0"/>
          <w:numId w:val="5"/>
        </w:numPr>
      </w:pPr>
      <w:r>
        <w:t>G</w:t>
      </w:r>
      <w:r w:rsidR="00967FEA">
        <w:t>li influssi indoeuropei</w:t>
      </w:r>
    </w:p>
    <w:p w14:paraId="5B1DCC3D" w14:textId="5812ED70" w:rsidR="003F6AB5" w:rsidRDefault="003F6AB5" w:rsidP="003F6AB5">
      <w:pPr>
        <w:pStyle w:val="Titolo2"/>
      </w:pPr>
      <w:r>
        <w:t xml:space="preserve">6. Roma </w:t>
      </w:r>
    </w:p>
    <w:p w14:paraId="663D2C65" w14:textId="5AF90AFE" w:rsidR="00967FEA" w:rsidRDefault="00967FEA" w:rsidP="00967FEA">
      <w:pPr>
        <w:pStyle w:val="Paragrafoelenco"/>
        <w:numPr>
          <w:ilvl w:val="0"/>
          <w:numId w:val="6"/>
        </w:numPr>
      </w:pPr>
      <w:r>
        <w:t>le esperienze autoctone</w:t>
      </w:r>
      <w:r w:rsidR="0004252D">
        <w:t>: Quirino</w:t>
      </w:r>
    </w:p>
    <w:p w14:paraId="53DCFBD4" w14:textId="4B2E3FFF" w:rsidR="00967FEA" w:rsidRDefault="00967FEA" w:rsidP="00967FEA">
      <w:pPr>
        <w:pStyle w:val="Paragrafoelenco"/>
        <w:numPr>
          <w:ilvl w:val="0"/>
          <w:numId w:val="6"/>
        </w:numPr>
      </w:pPr>
      <w:r>
        <w:t>gli influssi indoeuropei</w:t>
      </w:r>
      <w:r w:rsidR="0004252D">
        <w:t>: le triadi e il pantheon</w:t>
      </w:r>
    </w:p>
    <w:p w14:paraId="50817835" w14:textId="13D51AD6" w:rsidR="00122EA3" w:rsidRDefault="00122EA3" w:rsidP="00967FEA">
      <w:pPr>
        <w:pStyle w:val="Paragrafoelenco"/>
        <w:numPr>
          <w:ilvl w:val="0"/>
          <w:numId w:val="6"/>
        </w:numPr>
      </w:pPr>
      <w:r>
        <w:t>culti di stato e culti familiari</w:t>
      </w:r>
      <w:r w:rsidR="0004252D">
        <w:t>: lari, Penati e Mani</w:t>
      </w:r>
    </w:p>
    <w:p w14:paraId="717330C5" w14:textId="580F0F4F" w:rsidR="0004252D" w:rsidRDefault="0004252D" w:rsidP="00967FEA">
      <w:pPr>
        <w:pStyle w:val="Paragrafoelenco"/>
        <w:numPr>
          <w:ilvl w:val="0"/>
          <w:numId w:val="6"/>
        </w:numPr>
      </w:pPr>
      <w:r>
        <w:t>Demitizzazione e storificazione: la teologia civica degli eroi</w:t>
      </w:r>
    </w:p>
    <w:p w14:paraId="54CB2A35" w14:textId="3B07BB90" w:rsidR="0004252D" w:rsidRPr="00967FEA" w:rsidRDefault="0004252D" w:rsidP="00967FEA">
      <w:pPr>
        <w:pStyle w:val="Paragrafoelenco"/>
        <w:numPr>
          <w:ilvl w:val="0"/>
          <w:numId w:val="6"/>
        </w:numPr>
      </w:pPr>
      <w:r>
        <w:t>La sopravvalutazione del rito</w:t>
      </w:r>
    </w:p>
    <w:p w14:paraId="78F1F59A" w14:textId="401F34BA" w:rsidR="0086349B" w:rsidRDefault="00C21C17" w:rsidP="00C21C17">
      <w:pPr>
        <w:pStyle w:val="Titolo2"/>
        <w:rPr>
          <w:lang w:eastAsia="it-IT"/>
        </w:rPr>
      </w:pPr>
      <w:r>
        <w:rPr>
          <w:lang w:eastAsia="it-IT"/>
        </w:rPr>
        <w:t xml:space="preserve">7. </w:t>
      </w:r>
      <w:r w:rsidR="0086349B">
        <w:rPr>
          <w:lang w:eastAsia="it-IT"/>
        </w:rPr>
        <w:t>Ellenismo e sincretismo</w:t>
      </w:r>
    </w:p>
    <w:p w14:paraId="08368FB4" w14:textId="7E017ECD" w:rsidR="0086349B" w:rsidRDefault="0086349B" w:rsidP="002B30B7">
      <w:pPr>
        <w:pStyle w:val="Paragrafoelenco"/>
        <w:numPr>
          <w:ilvl w:val="0"/>
          <w:numId w:val="8"/>
        </w:numPr>
        <w:spacing w:after="0"/>
        <w:rPr>
          <w:lang w:eastAsia="it-IT"/>
        </w:rPr>
      </w:pPr>
      <w:r>
        <w:rPr>
          <w:lang w:eastAsia="it-IT"/>
        </w:rPr>
        <w:t>Alessandro Magno e l’ellenismo</w:t>
      </w:r>
    </w:p>
    <w:p w14:paraId="1A6A8A37" w14:textId="48FD8014" w:rsidR="002B30B7" w:rsidRDefault="002B30B7" w:rsidP="002B30B7">
      <w:pPr>
        <w:pStyle w:val="Paragrafoelenco"/>
        <w:numPr>
          <w:ilvl w:val="0"/>
          <w:numId w:val="8"/>
        </w:numPr>
        <w:spacing w:after="0"/>
        <w:rPr>
          <w:lang w:eastAsia="it-IT"/>
        </w:rPr>
      </w:pPr>
      <w:r>
        <w:rPr>
          <w:lang w:eastAsia="it-IT"/>
        </w:rPr>
        <w:t>La sintesi cultura tolemaica</w:t>
      </w:r>
    </w:p>
    <w:p w14:paraId="76EAE577" w14:textId="0EBADCDE" w:rsidR="00122EA3" w:rsidRDefault="002B30B7" w:rsidP="002B30B7">
      <w:pPr>
        <w:pStyle w:val="Paragrafoelenco"/>
        <w:numPr>
          <w:ilvl w:val="0"/>
          <w:numId w:val="8"/>
        </w:numPr>
        <w:spacing w:after="0"/>
        <w:rPr>
          <w:lang w:eastAsia="it-IT"/>
        </w:rPr>
      </w:pPr>
      <w:r>
        <w:rPr>
          <w:lang w:eastAsia="it-IT"/>
        </w:rPr>
        <w:t xml:space="preserve">I culti orientali a Roma. </w:t>
      </w:r>
      <w:r w:rsidR="00122EA3">
        <w:rPr>
          <w:lang w:eastAsia="it-IT"/>
        </w:rPr>
        <w:t xml:space="preserve">Il duplice atteggiamento romano: sincretismo e/o accoglienza circospetta (cfr. il culto di Attis e l’evirazione dei sacerdoti) </w:t>
      </w:r>
    </w:p>
    <w:p w14:paraId="0AF0C947" w14:textId="31B7F98E" w:rsidR="0086349B" w:rsidRDefault="0086349B" w:rsidP="002B30B7">
      <w:pPr>
        <w:pStyle w:val="Paragrafoelenco"/>
        <w:numPr>
          <w:ilvl w:val="0"/>
          <w:numId w:val="8"/>
        </w:numPr>
        <w:spacing w:after="0"/>
        <w:rPr>
          <w:lang w:eastAsia="it-IT"/>
        </w:rPr>
      </w:pPr>
      <w:r>
        <w:rPr>
          <w:lang w:eastAsia="it-IT"/>
        </w:rPr>
        <w:t xml:space="preserve">La mutazione dei misteri: </w:t>
      </w:r>
      <w:r w:rsidR="00122EA3">
        <w:rPr>
          <w:lang w:eastAsia="it-IT"/>
        </w:rPr>
        <w:t>da esperienze iniziatiche di appartenenza a culti per assicurare la vita oltre la morte nell’oltretomba (cfr. il culto di Mitra presso l’esercito romano)</w:t>
      </w:r>
    </w:p>
    <w:p w14:paraId="79ED8C4E" w14:textId="4FD5931D" w:rsidR="002B30B7" w:rsidRDefault="002B30B7" w:rsidP="002B30B7">
      <w:pPr>
        <w:pStyle w:val="Paragrafoelenco"/>
        <w:numPr>
          <w:ilvl w:val="0"/>
          <w:numId w:val="8"/>
        </w:numPr>
        <w:spacing w:after="0"/>
        <w:rPr>
          <w:lang w:eastAsia="it-IT"/>
        </w:rPr>
      </w:pPr>
      <w:r>
        <w:rPr>
          <w:lang w:eastAsia="it-IT"/>
        </w:rPr>
        <w:t>I re “divinizzati” e il culto dell’imperatore a Roma</w:t>
      </w:r>
    </w:p>
    <w:p w14:paraId="4F79A2D1" w14:textId="1B2633F7" w:rsidR="002B30B7" w:rsidRDefault="002B30B7" w:rsidP="002B30B7">
      <w:pPr>
        <w:pStyle w:val="Paragrafoelenco"/>
        <w:numPr>
          <w:ilvl w:val="0"/>
          <w:numId w:val="8"/>
        </w:numPr>
        <w:spacing w:after="0"/>
        <w:rPr>
          <w:lang w:eastAsia="it-IT"/>
        </w:rPr>
      </w:pPr>
      <w:r>
        <w:rPr>
          <w:lang w:eastAsia="it-IT"/>
        </w:rPr>
        <w:t>Correnti filosofico-religiose: epicurei, scettici, stoici, cinici, platonismo e neoplatonismo, ermetismo esoterico.</w:t>
      </w:r>
    </w:p>
    <w:p w14:paraId="4BE81EB2" w14:textId="77777777" w:rsidR="00122EA3" w:rsidRDefault="00122EA3" w:rsidP="00122EA3">
      <w:pPr>
        <w:spacing w:after="0"/>
        <w:rPr>
          <w:lang w:eastAsia="it-IT"/>
        </w:rPr>
      </w:pPr>
      <w:r>
        <w:rPr>
          <w:b/>
          <w:bCs/>
        </w:rPr>
        <w:t xml:space="preserve">Nota 1. </w:t>
      </w:r>
      <w:r>
        <w:rPr>
          <w:lang w:eastAsia="it-IT"/>
        </w:rPr>
        <w:t>Dal culto della Grande Dea all’avvento delle divinità indoeuropee:</w:t>
      </w:r>
    </w:p>
    <w:p w14:paraId="22EE82AF" w14:textId="7A7DB0FE" w:rsidR="00122EA3" w:rsidRDefault="00122EA3" w:rsidP="00122EA3">
      <w:pPr>
        <w:spacing w:after="0"/>
        <w:jc w:val="both"/>
        <w:rPr>
          <w:lang w:eastAsia="it-IT"/>
        </w:rPr>
      </w:pPr>
      <w:r>
        <w:rPr>
          <w:lang w:eastAsia="it-IT"/>
        </w:rPr>
        <w:t>l’eterismo di Afrodite; la ginecocrazia di Demetra e il mito di Persefone; dal matriarcato al patriarcato; il pantheon Ittita e il Dio della tempesta; il mito babilonese di Ishtar e Tammuz</w:t>
      </w:r>
      <w:r w:rsidR="000C1949">
        <w:rPr>
          <w:lang w:eastAsia="it-IT"/>
        </w:rPr>
        <w:t xml:space="preserve"> (cfr. il mito di Inanna e Dumuzi)</w:t>
      </w:r>
      <w:r>
        <w:rPr>
          <w:lang w:eastAsia="it-IT"/>
        </w:rPr>
        <w:t>; il mito di Adone e Astarte; il mito e il rituale di morte risurrezione di Cibele e Attis col sacrificio del toro.</w:t>
      </w:r>
    </w:p>
    <w:p w14:paraId="33183C41" w14:textId="77777777" w:rsidR="00122EA3" w:rsidRDefault="00122EA3" w:rsidP="00122EA3">
      <w:pPr>
        <w:spacing w:after="0"/>
        <w:rPr>
          <w:lang w:eastAsia="it-IT"/>
        </w:rPr>
      </w:pPr>
      <w:r w:rsidRPr="008950E5">
        <w:rPr>
          <w:b/>
          <w:bCs/>
          <w:lang w:eastAsia="it-IT"/>
        </w:rPr>
        <w:t>Nota</w:t>
      </w:r>
      <w:r>
        <w:rPr>
          <w:b/>
          <w:bCs/>
          <w:lang w:eastAsia="it-IT"/>
        </w:rPr>
        <w:t xml:space="preserve"> 2. </w:t>
      </w:r>
      <w:r>
        <w:rPr>
          <w:lang w:eastAsia="it-IT"/>
        </w:rPr>
        <w:t xml:space="preserve">Dalla Grande Dea a Maria Madre e Vergine, cfr. Efeso e Artemide </w:t>
      </w:r>
    </w:p>
    <w:p w14:paraId="43CC6ACC" w14:textId="77777777" w:rsidR="00122EA3" w:rsidRPr="00C21C17" w:rsidRDefault="00122EA3" w:rsidP="00122EA3">
      <w:pPr>
        <w:spacing w:after="0"/>
        <w:rPr>
          <w:b/>
          <w:bCs/>
        </w:rPr>
      </w:pPr>
      <w:r>
        <w:rPr>
          <w:b/>
          <w:bCs/>
          <w:lang w:eastAsia="it-IT"/>
        </w:rPr>
        <w:t xml:space="preserve">Nota 3. </w:t>
      </w:r>
      <w:r>
        <w:rPr>
          <w:lang w:eastAsia="it-IT"/>
        </w:rPr>
        <w:t>I miti di morte e risurrezione</w:t>
      </w:r>
    </w:p>
    <w:p w14:paraId="0770487D" w14:textId="77777777" w:rsidR="00122EA3" w:rsidRDefault="00122EA3" w:rsidP="0086349B">
      <w:pPr>
        <w:pStyle w:val="Titolo2"/>
        <w:rPr>
          <w:lang w:eastAsia="it-IT"/>
        </w:rPr>
      </w:pPr>
    </w:p>
    <w:p w14:paraId="3C2A9213" w14:textId="79DC7EF8" w:rsidR="00C21C17" w:rsidRDefault="0086349B" w:rsidP="00C21C17">
      <w:pPr>
        <w:pStyle w:val="Titolo2"/>
        <w:rPr>
          <w:lang w:eastAsia="it-IT"/>
        </w:rPr>
      </w:pPr>
      <w:r>
        <w:rPr>
          <w:lang w:eastAsia="it-IT"/>
        </w:rPr>
        <w:t xml:space="preserve">8. </w:t>
      </w:r>
      <w:r w:rsidR="00C21C17">
        <w:rPr>
          <w:lang w:eastAsia="it-IT"/>
        </w:rPr>
        <w:t>L</w:t>
      </w:r>
      <w:r w:rsidR="00C21C17" w:rsidRPr="008950E5">
        <w:rPr>
          <w:lang w:eastAsia="it-IT"/>
        </w:rPr>
        <w:t>e grandi civiltà precolombiane</w:t>
      </w:r>
      <w:r w:rsidR="00C21C17">
        <w:rPr>
          <w:lang w:eastAsia="it-IT"/>
        </w:rPr>
        <w:t xml:space="preserve">: </w:t>
      </w:r>
    </w:p>
    <w:p w14:paraId="64318DB4" w14:textId="10AC95C2" w:rsidR="002B30B7" w:rsidRDefault="002B30B7" w:rsidP="002B30B7">
      <w:pPr>
        <w:pStyle w:val="Titolo3"/>
        <w:rPr>
          <w:lang w:eastAsia="it-IT"/>
        </w:rPr>
      </w:pPr>
      <w:r>
        <w:rPr>
          <w:lang w:eastAsia="it-IT"/>
        </w:rPr>
        <w:t xml:space="preserve">1. </w:t>
      </w:r>
      <w:r w:rsidR="00C21C17">
        <w:rPr>
          <w:lang w:eastAsia="it-IT"/>
        </w:rPr>
        <w:t>Incas</w:t>
      </w:r>
      <w:r w:rsidR="009E08D9">
        <w:rPr>
          <w:lang w:eastAsia="it-IT"/>
        </w:rPr>
        <w:t>: la religione andina</w:t>
      </w:r>
    </w:p>
    <w:p w14:paraId="20C64315" w14:textId="6301C63D" w:rsidR="002B30B7" w:rsidRPr="002B30B7" w:rsidRDefault="009E08D9" w:rsidP="009E08D9">
      <w:pPr>
        <w:spacing w:after="0"/>
        <w:rPr>
          <w:lang w:eastAsia="it-IT"/>
        </w:rPr>
      </w:pPr>
      <w:r>
        <w:rPr>
          <w:lang w:eastAsia="it-IT"/>
        </w:rPr>
        <w:t>Culto del Sole di cui il re è figlio; dei celesti e della fertilità;</w:t>
      </w:r>
    </w:p>
    <w:p w14:paraId="6E6622F9" w14:textId="40998870" w:rsidR="009E08D9" w:rsidRDefault="009E08D9" w:rsidP="002B30B7">
      <w:pPr>
        <w:pStyle w:val="Titolo3"/>
        <w:rPr>
          <w:lang w:eastAsia="it-IT"/>
        </w:rPr>
      </w:pPr>
      <w:r>
        <w:rPr>
          <w:lang w:eastAsia="it-IT"/>
        </w:rPr>
        <w:t xml:space="preserve">2. </w:t>
      </w:r>
      <w:r w:rsidR="00C21C17">
        <w:rPr>
          <w:lang w:eastAsia="it-IT"/>
        </w:rPr>
        <w:t>Maya</w:t>
      </w:r>
      <w:r>
        <w:rPr>
          <w:lang w:eastAsia="it-IT"/>
        </w:rPr>
        <w:t>: la religione dello Yucatan</w:t>
      </w:r>
    </w:p>
    <w:p w14:paraId="5D13F6AB" w14:textId="1E3D0372" w:rsidR="009E08D9" w:rsidRDefault="009E08D9" w:rsidP="009E08D9">
      <w:pPr>
        <w:spacing w:after="0"/>
        <w:rPr>
          <w:lang w:eastAsia="it-IT"/>
        </w:rPr>
      </w:pPr>
      <w:r>
        <w:rPr>
          <w:lang w:eastAsia="it-IT"/>
        </w:rPr>
        <w:t>Lo zero e l’ossessione dei calcoli astronomici</w:t>
      </w:r>
    </w:p>
    <w:p w14:paraId="25B9E583" w14:textId="2B2AF417" w:rsidR="009E08D9" w:rsidRPr="009E08D9" w:rsidRDefault="009E08D9" w:rsidP="009E08D9">
      <w:pPr>
        <w:spacing w:after="0"/>
        <w:rPr>
          <w:lang w:eastAsia="it-IT"/>
        </w:rPr>
      </w:pPr>
      <w:r>
        <w:rPr>
          <w:lang w:eastAsia="it-IT"/>
        </w:rPr>
        <w:t>Toltechi e dei della guerra.</w:t>
      </w:r>
    </w:p>
    <w:p w14:paraId="3A6C87ED" w14:textId="08D19259" w:rsidR="002B30B7" w:rsidRDefault="00C21C17" w:rsidP="009E08D9">
      <w:pPr>
        <w:pStyle w:val="Titolo2"/>
        <w:rPr>
          <w:lang w:eastAsia="it-IT"/>
        </w:rPr>
      </w:pPr>
      <w:r>
        <w:rPr>
          <w:lang w:eastAsia="it-IT"/>
        </w:rPr>
        <w:t xml:space="preserve"> </w:t>
      </w:r>
      <w:r w:rsidR="009E08D9">
        <w:rPr>
          <w:lang w:eastAsia="it-IT"/>
        </w:rPr>
        <w:t xml:space="preserve">3. </w:t>
      </w:r>
      <w:r>
        <w:rPr>
          <w:lang w:eastAsia="it-IT"/>
        </w:rPr>
        <w:t xml:space="preserve">Aztechi, </w:t>
      </w:r>
    </w:p>
    <w:p w14:paraId="502A157F" w14:textId="77777777" w:rsidR="009E08D9" w:rsidRDefault="00C21C17" w:rsidP="009E08D9">
      <w:pPr>
        <w:spacing w:after="0"/>
        <w:jc w:val="both"/>
        <w:rPr>
          <w:lang w:eastAsia="it-IT"/>
        </w:rPr>
      </w:pPr>
      <w:r>
        <w:rPr>
          <w:lang w:eastAsia="it-IT"/>
        </w:rPr>
        <w:t xml:space="preserve">Miti cosmogonici, caste sacerdotali e culti. </w:t>
      </w:r>
    </w:p>
    <w:p w14:paraId="62367A45" w14:textId="77777777" w:rsidR="009E08D9" w:rsidRDefault="00C21C17" w:rsidP="009E08D9">
      <w:pPr>
        <w:spacing w:after="0"/>
        <w:jc w:val="both"/>
        <w:rPr>
          <w:lang w:eastAsia="it-IT"/>
        </w:rPr>
      </w:pPr>
      <w:r>
        <w:rPr>
          <w:lang w:eastAsia="it-IT"/>
        </w:rPr>
        <w:t xml:space="preserve">Volontà di potenza e cannibalismo. </w:t>
      </w:r>
    </w:p>
    <w:p w14:paraId="4832A7FC" w14:textId="5EFD993C" w:rsidR="00C21C17" w:rsidRDefault="00C21C17" w:rsidP="009E08D9">
      <w:pPr>
        <w:spacing w:after="0"/>
        <w:jc w:val="both"/>
        <w:rPr>
          <w:lang w:eastAsia="it-IT"/>
        </w:rPr>
      </w:pPr>
      <w:r>
        <w:rPr>
          <w:lang w:eastAsia="it-IT"/>
        </w:rPr>
        <w:t xml:space="preserve">Sacrifici e culto dei morti “fertilizzanti” per la vita. </w:t>
      </w:r>
    </w:p>
    <w:p w14:paraId="41EC696A" w14:textId="144CD5B8" w:rsidR="009E08D9" w:rsidRDefault="009E08D9" w:rsidP="009E08D9">
      <w:pPr>
        <w:spacing w:after="0"/>
        <w:jc w:val="both"/>
        <w:rPr>
          <w:lang w:eastAsia="it-IT"/>
        </w:rPr>
      </w:pPr>
      <w:r>
        <w:rPr>
          <w:lang w:eastAsia="it-IT"/>
        </w:rPr>
        <w:t>Il calendario e il “controllo del tempo”</w:t>
      </w:r>
    </w:p>
    <w:p w14:paraId="2F8F01D8" w14:textId="77777777" w:rsidR="00C21C17" w:rsidRPr="00C21C17" w:rsidRDefault="00C21C17" w:rsidP="009E08D9">
      <w:pPr>
        <w:spacing w:after="0"/>
      </w:pPr>
    </w:p>
    <w:p w14:paraId="482ADC2C" w14:textId="77777777" w:rsidR="00A1243D" w:rsidRPr="008937DE" w:rsidRDefault="00A1243D" w:rsidP="005B0DF0">
      <w:pPr>
        <w:spacing w:after="0"/>
        <w:rPr>
          <w:b/>
          <w:bCs/>
          <w:u w:val="single"/>
        </w:rPr>
      </w:pPr>
      <w:r>
        <w:rPr>
          <w:b/>
          <w:bCs/>
          <w:u w:val="single"/>
        </w:rPr>
        <w:t>Bibliografia</w:t>
      </w:r>
    </w:p>
    <w:p w14:paraId="4DC770CE" w14:textId="77777777" w:rsidR="00FB4DEA" w:rsidRPr="00F46527" w:rsidRDefault="00FB4DEA" w:rsidP="00FB4DEA">
      <w:pPr>
        <w:spacing w:after="0"/>
        <w:rPr>
          <w:b/>
          <w:bCs/>
          <w:i/>
          <w:iCs/>
        </w:rPr>
      </w:pPr>
      <w:bookmarkStart w:id="0" w:name="_Hlk212550635"/>
      <w:bookmarkStart w:id="1" w:name="_Hlk212802154"/>
      <w:r w:rsidRPr="00F46527">
        <w:rPr>
          <w:b/>
          <w:bCs/>
          <w:i/>
          <w:iCs/>
        </w:rPr>
        <w:t>Manuali</w:t>
      </w:r>
    </w:p>
    <w:p w14:paraId="773F62FA" w14:textId="3D734054" w:rsidR="00FB4DEA" w:rsidRPr="000D0CE9" w:rsidRDefault="00FB4DEA" w:rsidP="00FB4DEA">
      <w:pPr>
        <w:spacing w:after="0" w:line="240" w:lineRule="auto"/>
      </w:pPr>
      <w:bookmarkStart w:id="2" w:name="_Hlk212801421"/>
      <w:r>
        <w:t xml:space="preserve">FILORAMO G., MASSENZIO M., RAVERI M., SCARPI P., </w:t>
      </w:r>
      <w:r w:rsidRPr="000D0CE9">
        <w:rPr>
          <w:i/>
          <w:iCs/>
        </w:rPr>
        <w:t>Manuale di storia delle religioni</w:t>
      </w:r>
      <w:r>
        <w:rPr>
          <w:i/>
          <w:iCs/>
        </w:rPr>
        <w:t xml:space="preserve">, </w:t>
      </w:r>
      <w:r>
        <w:t>Editori Laterza, 1998</w:t>
      </w:r>
      <w:r>
        <w:rPr>
          <w:vertAlign w:val="superscript"/>
        </w:rPr>
        <w:t>31</w:t>
      </w:r>
      <w:r w:rsidR="00C815FB">
        <w:t>, capp. II-IX</w:t>
      </w:r>
      <w:r>
        <w:t>.</w:t>
      </w:r>
    </w:p>
    <w:p w14:paraId="55C51059" w14:textId="67C7F407" w:rsidR="00FB4DEA" w:rsidRPr="00F46527" w:rsidRDefault="00FB4DEA" w:rsidP="00FB4DEA">
      <w:pPr>
        <w:spacing w:after="0"/>
      </w:pPr>
      <w:bookmarkStart w:id="3" w:name="_Hlk212801435"/>
      <w:bookmarkEnd w:id="2"/>
      <w:r>
        <w:t xml:space="preserve">GUERRA MANUEL, </w:t>
      </w:r>
      <w:r>
        <w:rPr>
          <w:i/>
          <w:iCs/>
        </w:rPr>
        <w:t>Storia delle religioni,</w:t>
      </w:r>
      <w:r>
        <w:t xml:space="preserve"> Editrice La Scuola, 1993</w:t>
      </w:r>
      <w:r>
        <w:rPr>
          <w:vertAlign w:val="superscript"/>
        </w:rPr>
        <w:t>6</w:t>
      </w:r>
      <w:r>
        <w:t xml:space="preserve">; parte prima, capp. </w:t>
      </w:r>
      <w:r>
        <w:t>6-10</w:t>
      </w:r>
      <w:r>
        <w:t>; parte seconda, capp. 4-5.</w:t>
      </w:r>
    </w:p>
    <w:bookmarkEnd w:id="3"/>
    <w:p w14:paraId="4D610FC8" w14:textId="0B0E03E4" w:rsidR="00FB4DEA" w:rsidRPr="00FB4DEA" w:rsidRDefault="00FB4DEA" w:rsidP="005B0DF0">
      <w:pPr>
        <w:spacing w:after="0" w:line="240" w:lineRule="auto"/>
        <w:rPr>
          <w:b/>
          <w:bCs/>
          <w:i/>
          <w:iCs/>
        </w:rPr>
      </w:pPr>
      <w:r w:rsidRPr="00FB4DEA">
        <w:rPr>
          <w:b/>
          <w:bCs/>
          <w:i/>
          <w:iCs/>
        </w:rPr>
        <w:t>Monografie</w:t>
      </w:r>
    </w:p>
    <w:p w14:paraId="606ED172" w14:textId="7E097F2E" w:rsidR="009E08D9" w:rsidRDefault="00C21C17" w:rsidP="005B0DF0">
      <w:pPr>
        <w:spacing w:after="0" w:line="240" w:lineRule="auto"/>
      </w:pPr>
      <w:r>
        <w:t>AA.VV.</w:t>
      </w:r>
      <w:r>
        <w:rPr>
          <w:i/>
          <w:iCs/>
        </w:rPr>
        <w:t xml:space="preserve">, Le religioni precolombiane-1. Società e senso del sacro, </w:t>
      </w:r>
      <w:r>
        <w:t xml:space="preserve">in </w:t>
      </w:r>
      <w:r>
        <w:rPr>
          <w:i/>
          <w:iCs/>
        </w:rPr>
        <w:t xml:space="preserve">Sette e religioni, n. 44, </w:t>
      </w:r>
      <w:r>
        <w:t xml:space="preserve">GRIS – ESD </w:t>
      </w:r>
    </w:p>
    <w:p w14:paraId="6AC6C497" w14:textId="6199B2D7" w:rsidR="00352B34" w:rsidRDefault="00352B34" w:rsidP="005B0DF0">
      <w:pPr>
        <w:spacing w:after="0" w:line="240" w:lineRule="auto"/>
      </w:pPr>
      <w:r>
        <w:lastRenderedPageBreak/>
        <w:t xml:space="preserve">A.B.I., </w:t>
      </w:r>
      <w:r>
        <w:rPr>
          <w:i/>
          <w:iCs/>
        </w:rPr>
        <w:t xml:space="preserve">Dio nella Bibbia e nelle culture ad essa contemporanee e connesse, </w:t>
      </w:r>
      <w:r>
        <w:t>LDC, 1980.</w:t>
      </w:r>
      <w:bookmarkEnd w:id="0"/>
    </w:p>
    <w:p w14:paraId="6274C4E8" w14:textId="2B405E30" w:rsidR="00352B34" w:rsidRDefault="00352B34" w:rsidP="003F6AB5">
      <w:pPr>
        <w:spacing w:after="0"/>
      </w:pPr>
      <w:r>
        <w:t xml:space="preserve">LORETZ OSWALD, </w:t>
      </w:r>
      <w:r>
        <w:rPr>
          <w:i/>
          <w:iCs/>
        </w:rPr>
        <w:t xml:space="preserve">L’unicità di Dio, </w:t>
      </w:r>
      <w:r>
        <w:t>Paideia, 2007.</w:t>
      </w:r>
    </w:p>
    <w:p w14:paraId="5F6A304D" w14:textId="29C20708" w:rsidR="003F6AB5" w:rsidRPr="00D93784" w:rsidRDefault="003F6AB5" w:rsidP="003F6AB5">
      <w:pPr>
        <w:spacing w:after="0"/>
      </w:pPr>
      <w:bookmarkStart w:id="4" w:name="_Hlk212802081"/>
      <w:bookmarkEnd w:id="1"/>
      <w:r>
        <w:t xml:space="preserve">USENER HERMANN, </w:t>
      </w:r>
      <w:r>
        <w:rPr>
          <w:i/>
          <w:iCs/>
        </w:rPr>
        <w:t xml:space="preserve">I nomi degli dei. Saggio </w:t>
      </w:r>
      <w:r w:rsidR="00D93784">
        <w:rPr>
          <w:i/>
          <w:iCs/>
        </w:rPr>
        <w:t xml:space="preserve">di teoria della formazione dei concetti religiosi, </w:t>
      </w:r>
      <w:r w:rsidR="00D93784">
        <w:t>Morcelliana, 2008.</w:t>
      </w:r>
    </w:p>
    <w:bookmarkEnd w:id="4"/>
    <w:p w14:paraId="13288CD9" w14:textId="77777777" w:rsidR="00C21C17" w:rsidRDefault="00C21C17" w:rsidP="00C21C17">
      <w:pPr>
        <w:spacing w:after="0"/>
      </w:pPr>
      <w:r>
        <w:rPr>
          <w:i/>
          <w:iCs/>
        </w:rPr>
        <w:t xml:space="preserve">Storia delle religioni </w:t>
      </w:r>
      <w:r>
        <w:t>(a cura di Henri-Charles Puech), Incas Maya e Aztechi, UL, 1978.</w:t>
      </w:r>
    </w:p>
    <w:p w14:paraId="156F1B3E" w14:textId="77777777" w:rsidR="00352B34" w:rsidRPr="00352B34" w:rsidRDefault="00352B34" w:rsidP="005B0DF0">
      <w:pPr>
        <w:spacing w:after="0" w:line="240" w:lineRule="auto"/>
      </w:pPr>
    </w:p>
    <w:sectPr w:rsidR="00352B34" w:rsidRPr="00352B34" w:rsidSect="00A1243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F1580"/>
    <w:multiLevelType w:val="hybridMultilevel"/>
    <w:tmpl w:val="0BF4081C"/>
    <w:lvl w:ilvl="0" w:tplc="FFFFFFFF">
      <w:start w:val="1"/>
      <w:numFmt w:val="decimal"/>
      <w:lvlText w:val="%1."/>
      <w:lvlJc w:val="left"/>
      <w:pPr>
        <w:ind w:left="580" w:hanging="360"/>
      </w:pPr>
      <w:rPr>
        <w:rFonts w:eastAsiaTheme="minorHAns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32F26"/>
    <w:multiLevelType w:val="hybridMultilevel"/>
    <w:tmpl w:val="722685A2"/>
    <w:lvl w:ilvl="0" w:tplc="FFFFFFFF">
      <w:start w:val="1"/>
      <w:numFmt w:val="decimal"/>
      <w:lvlText w:val="%1."/>
      <w:lvlJc w:val="left"/>
      <w:pPr>
        <w:ind w:left="928" w:hanging="360"/>
      </w:p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184C5A0E"/>
    <w:multiLevelType w:val="hybridMultilevel"/>
    <w:tmpl w:val="05A6ED6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A60713"/>
    <w:multiLevelType w:val="hybridMultilevel"/>
    <w:tmpl w:val="27C63C4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F70F0A"/>
    <w:multiLevelType w:val="hybridMultilevel"/>
    <w:tmpl w:val="427C10D4"/>
    <w:lvl w:ilvl="0" w:tplc="3F889E3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C67594"/>
    <w:multiLevelType w:val="hybridMultilevel"/>
    <w:tmpl w:val="F1BECB1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C04877"/>
    <w:multiLevelType w:val="hybridMultilevel"/>
    <w:tmpl w:val="27C63C4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EA7879"/>
    <w:multiLevelType w:val="hybridMultilevel"/>
    <w:tmpl w:val="27C63C4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7283571">
    <w:abstractNumId w:val="4"/>
  </w:num>
  <w:num w:numId="2" w16cid:durableId="672342748">
    <w:abstractNumId w:val="1"/>
  </w:num>
  <w:num w:numId="3" w16cid:durableId="1191187917">
    <w:abstractNumId w:val="0"/>
  </w:num>
  <w:num w:numId="4" w16cid:durableId="1856268867">
    <w:abstractNumId w:val="7"/>
  </w:num>
  <w:num w:numId="5" w16cid:durableId="1080445282">
    <w:abstractNumId w:val="6"/>
  </w:num>
  <w:num w:numId="6" w16cid:durableId="272518607">
    <w:abstractNumId w:val="3"/>
  </w:num>
  <w:num w:numId="7" w16cid:durableId="1958440367">
    <w:abstractNumId w:val="2"/>
  </w:num>
  <w:num w:numId="8" w16cid:durableId="14509773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43D"/>
    <w:rsid w:val="0004252D"/>
    <w:rsid w:val="000C1949"/>
    <w:rsid w:val="00103686"/>
    <w:rsid w:val="00122EA3"/>
    <w:rsid w:val="002B30B7"/>
    <w:rsid w:val="00352B34"/>
    <w:rsid w:val="003F6AB5"/>
    <w:rsid w:val="005B0DF0"/>
    <w:rsid w:val="00620734"/>
    <w:rsid w:val="007F2744"/>
    <w:rsid w:val="008360E5"/>
    <w:rsid w:val="0086349B"/>
    <w:rsid w:val="00967FEA"/>
    <w:rsid w:val="00997148"/>
    <w:rsid w:val="009C2233"/>
    <w:rsid w:val="009E08D9"/>
    <w:rsid w:val="00A1243D"/>
    <w:rsid w:val="00A76EB4"/>
    <w:rsid w:val="00C21C17"/>
    <w:rsid w:val="00C815FB"/>
    <w:rsid w:val="00CD34EB"/>
    <w:rsid w:val="00D93784"/>
    <w:rsid w:val="00F96536"/>
    <w:rsid w:val="00FB4DEA"/>
    <w:rsid w:val="00FC6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78A96"/>
  <w15:chartTrackingRefBased/>
  <w15:docId w15:val="{47457837-479C-4F23-8D8A-7C303AC9E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1243D"/>
  </w:style>
  <w:style w:type="paragraph" w:styleId="Titolo1">
    <w:name w:val="heading 1"/>
    <w:basedOn w:val="Normale"/>
    <w:next w:val="Normale"/>
    <w:link w:val="Titolo1Carattere"/>
    <w:uiPriority w:val="9"/>
    <w:qFormat/>
    <w:rsid w:val="00A1243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A1243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A76EB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0C194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124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A1243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A76EB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467"/>
    <w:pPr>
      <w:ind w:left="720"/>
      <w:contextualSpacing/>
    </w:pPr>
  </w:style>
  <w:style w:type="character" w:customStyle="1" w:styleId="Titolo4Carattere">
    <w:name w:val="Titolo 4 Carattere"/>
    <w:basedOn w:val="Carpredefinitoparagrafo"/>
    <w:link w:val="Titolo4"/>
    <w:uiPriority w:val="9"/>
    <w:rsid w:val="000C1949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8CBDD7-D03A-4874-A7CF-4C4E5DF47A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3</Pages>
  <Words>787</Words>
  <Characters>4490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Amministratore</cp:lastModifiedBy>
  <cp:revision>10</cp:revision>
  <dcterms:created xsi:type="dcterms:W3CDTF">2025-10-21T09:27:00Z</dcterms:created>
  <dcterms:modified xsi:type="dcterms:W3CDTF">2025-11-05T09:43:00Z</dcterms:modified>
</cp:coreProperties>
</file>