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A56AC" w14:textId="6E20B487" w:rsidR="008937DE" w:rsidRDefault="008937DE" w:rsidP="00343CB6">
      <w:pPr>
        <w:pStyle w:val="Titolo1"/>
        <w:rPr>
          <w:rFonts w:eastAsiaTheme="minorEastAsia"/>
          <w:kern w:val="0"/>
          <w:lang w:eastAsia="it-IT"/>
          <w14:ligatures w14:val="none"/>
        </w:rPr>
      </w:pPr>
      <w:r w:rsidRPr="008937DE">
        <w:t>CAPITOLO SECONDO – Le religioni “naturali”</w:t>
      </w:r>
      <w:r w:rsidRPr="008937DE">
        <w:rPr>
          <w:rFonts w:eastAsiaTheme="minorEastAsia"/>
          <w:kern w:val="0"/>
          <w:lang w:eastAsia="it-IT"/>
          <w14:ligatures w14:val="none"/>
        </w:rPr>
        <w:t xml:space="preserve"> </w:t>
      </w:r>
    </w:p>
    <w:p w14:paraId="77BA9AE5" w14:textId="121E822E" w:rsidR="008937DE" w:rsidRDefault="00343CB6" w:rsidP="00343CB6">
      <w:pPr>
        <w:pStyle w:val="Titolo2"/>
        <w:rPr>
          <w:lang w:eastAsia="it-IT"/>
        </w:rPr>
      </w:pPr>
      <w:r>
        <w:rPr>
          <w:lang w:eastAsia="it-IT"/>
        </w:rPr>
        <w:t>1. La preistoria</w:t>
      </w:r>
    </w:p>
    <w:p w14:paraId="3774C97F" w14:textId="1A29268F" w:rsidR="00343CB6" w:rsidRDefault="00343CB6" w:rsidP="008950E5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L’uomo sapiens del paleolitico</w:t>
      </w:r>
    </w:p>
    <w:p w14:paraId="37B90933" w14:textId="3B633BB8" w:rsidR="00343CB6" w:rsidRDefault="00343CB6" w:rsidP="008950E5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Le ipotesi attraverso le incisioni, i simboli, le pitture</w:t>
      </w:r>
    </w:p>
    <w:p w14:paraId="68F6E3C6" w14:textId="0C097E7A" w:rsidR="0073222C" w:rsidRDefault="0073222C" w:rsidP="008950E5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Culto delle ossa di uomini e animali?</w:t>
      </w:r>
    </w:p>
    <w:p w14:paraId="6345B8E1" w14:textId="7FB1FD86" w:rsidR="0073222C" w:rsidRDefault="0073222C" w:rsidP="008950E5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Le sepolture</w:t>
      </w:r>
    </w:p>
    <w:p w14:paraId="6A58017A" w14:textId="2D1F64BA" w:rsidR="0073222C" w:rsidRDefault="0073222C" w:rsidP="008950E5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Le rappresentazioni falliche e vulvari</w:t>
      </w:r>
    </w:p>
    <w:p w14:paraId="69A3093E" w14:textId="2BEDF855" w:rsidR="00343CB6" w:rsidRDefault="00343CB6" w:rsidP="00343CB6">
      <w:pPr>
        <w:pStyle w:val="Titolo2"/>
        <w:rPr>
          <w:lang w:eastAsia="it-IT"/>
        </w:rPr>
      </w:pPr>
      <w:r>
        <w:rPr>
          <w:lang w:eastAsia="it-IT"/>
        </w:rPr>
        <w:t>2. Le esperienze religiose primordiali nelle diverse aree geografiche</w:t>
      </w:r>
    </w:p>
    <w:p w14:paraId="635C97F0" w14:textId="7D989409" w:rsidR="00343CB6" w:rsidRDefault="00343CB6" w:rsidP="00DC17F2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Nell’Africa nera</w:t>
      </w:r>
      <w:r w:rsidR="00DC17F2" w:rsidRPr="00353A1F">
        <w:rPr>
          <w:b/>
          <w:bCs/>
          <w:lang w:eastAsia="it-IT"/>
        </w:rPr>
        <w:t>:</w:t>
      </w:r>
      <w:r w:rsidR="00DC17F2">
        <w:rPr>
          <w:lang w:eastAsia="it-IT"/>
        </w:rPr>
        <w:t xml:space="preserve"> l’uomo nel cosmo tra cielo e terra</w:t>
      </w:r>
      <w:r w:rsidR="00FA3A51">
        <w:rPr>
          <w:lang w:eastAsia="it-IT"/>
        </w:rPr>
        <w:t xml:space="preserve"> e i fenomeni naturali</w:t>
      </w:r>
      <w:r w:rsidR="00DC17F2">
        <w:rPr>
          <w:lang w:eastAsia="it-IT"/>
        </w:rPr>
        <w:t>. L’io-collettivo e gli antenati, matrimonio, sessualità e ritualità (in luoghi simbolici, rocce, grotte, alberi e boschi sacri) per collocarsi nella “natura”, riti di iniziazione e culto degli antenati; tecniche divinatorie, stregoni e maghi</w:t>
      </w:r>
    </w:p>
    <w:p w14:paraId="67FFFA0B" w14:textId="4ADF20F5" w:rsidR="00343CB6" w:rsidRDefault="00343CB6" w:rsidP="00FA3A51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Nell’Oceania</w:t>
      </w:r>
      <w:r w:rsidR="00202003">
        <w:rPr>
          <w:lang w:eastAsia="it-IT"/>
        </w:rPr>
        <w:t xml:space="preserve"> (Australia, Malinesia e Polinesia)</w:t>
      </w:r>
      <w:r w:rsidR="00FA3A51">
        <w:rPr>
          <w:lang w:eastAsia="it-IT"/>
        </w:rPr>
        <w:t>: le tribù gerontocratiche, la trasmissione cantata dei miti della creazione, danze sacre, mana e tabù – sacro e profano, circondati dagli dei in ogni luogo e direzione</w:t>
      </w:r>
    </w:p>
    <w:p w14:paraId="1FD3CBDB" w14:textId="014DC872" w:rsidR="00343CB6" w:rsidRDefault="00343CB6" w:rsidP="00202003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Nei pellirosse d’America</w:t>
      </w:r>
      <w:r w:rsidR="00202003">
        <w:rPr>
          <w:lang w:eastAsia="it-IT"/>
        </w:rPr>
        <w:t>: manitù, lo spirito che permea l’universo, il cielo stellato, il sole, fenomeni metereologici e atmosferici; la madre terra e la vegetazione, spiriti e luoghi sacri; miti della creazione, l’uomo plasmato dal fango dall’eroe civilizzatore padre dei gemelli</w:t>
      </w:r>
      <w:r w:rsidR="00436FC2">
        <w:rPr>
          <w:lang w:eastAsia="it-IT"/>
        </w:rPr>
        <w:t xml:space="preserve"> divini; il totemismo, il genio/animale tutelare e l’uomo sacro – medicine man (con bisessualità e travestitismo); riti di iniziazione e riti sacri per entrare nei miti della creazione e della morte-rinascita; la vita oltre la morte</w:t>
      </w:r>
      <w:r w:rsidR="00125B1C">
        <w:rPr>
          <w:lang w:eastAsia="it-IT"/>
        </w:rPr>
        <w:t xml:space="preserve"> come prolungamento-miglioramento della condizione terrena;</w:t>
      </w:r>
    </w:p>
    <w:p w14:paraId="44D73C9F" w14:textId="5C1D6343" w:rsidR="0035107D" w:rsidRDefault="0035107D" w:rsidP="00202003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Nell’America meridionale</w:t>
      </w:r>
      <w:r>
        <w:rPr>
          <w:lang w:eastAsia="it-IT"/>
        </w:rPr>
        <w:t>: dei supremi e madre comune, la pachamama; fratelli gemelli fondatori e mondo degli spiriti; le anime dei morti e il loro ritorno scongiurato nel mondo dei vivi; lo sciamanesimo e il contatto col mondo degli spiriti nei riti e danze sacre in maschera.</w:t>
      </w:r>
    </w:p>
    <w:p w14:paraId="0845914C" w14:textId="3F839185" w:rsidR="00C7500E" w:rsidRDefault="0035107D" w:rsidP="00202003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Nei popoli artici</w:t>
      </w:r>
      <w:r>
        <w:rPr>
          <w:lang w:eastAsia="it-IT"/>
        </w:rPr>
        <w:t xml:space="preserve">: </w:t>
      </w:r>
      <w:r w:rsidR="00C7500E">
        <w:rPr>
          <w:lang w:eastAsia="it-IT"/>
        </w:rPr>
        <w:t>eschimesi, siberiani. Animismo, teismo semplice, sciamanesimo e contatto con l’aldilà.</w:t>
      </w:r>
    </w:p>
    <w:p w14:paraId="6E75EA89" w14:textId="07C0C4A5" w:rsidR="0035107D" w:rsidRDefault="00C7500E" w:rsidP="00202003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 w:rsidRPr="00353A1F">
        <w:rPr>
          <w:b/>
          <w:bCs/>
          <w:lang w:eastAsia="it-IT"/>
        </w:rPr>
        <w:t>Nei popoli altaici</w:t>
      </w:r>
      <w:r>
        <w:rPr>
          <w:lang w:eastAsia="it-IT"/>
        </w:rPr>
        <w:t>: turchi, mongoli, tungusi-manciù. Creazione e dualismo Dio-satana; l’albero sacro o albero-scala come comunicazione tra i mondi; sciamanesimo, natura e spiriti; la terra e la grande madre; culto della fecondità femminile e maschile.</w:t>
      </w:r>
    </w:p>
    <w:p w14:paraId="632F6F83" w14:textId="77777777" w:rsidR="00922D56" w:rsidRDefault="00E16356" w:rsidP="00202003">
      <w:pPr>
        <w:pStyle w:val="Paragrafoelenco"/>
        <w:numPr>
          <w:ilvl w:val="0"/>
          <w:numId w:val="1"/>
        </w:numPr>
        <w:jc w:val="both"/>
        <w:rPr>
          <w:lang w:eastAsia="it-IT"/>
        </w:rPr>
      </w:pPr>
      <w:r>
        <w:rPr>
          <w:b/>
          <w:bCs/>
          <w:lang w:eastAsia="it-IT"/>
        </w:rPr>
        <w:t>La grande dea dell’Anatolia</w:t>
      </w:r>
      <w:r w:rsidRPr="00E16356">
        <w:rPr>
          <w:lang w:eastAsia="it-IT"/>
        </w:rPr>
        <w:t>:</w:t>
      </w:r>
      <w:r>
        <w:rPr>
          <w:lang w:eastAsia="it-IT"/>
        </w:rPr>
        <w:t xml:space="preserve"> l’immaginario nel neolitico anatolico, dal simbolismo animale (toro) alla grande madre, Grande Dea della vita della morte e della rigenerazione</w:t>
      </w:r>
      <w:r w:rsidR="00A70A2B">
        <w:rPr>
          <w:lang w:eastAsia="it-IT"/>
        </w:rPr>
        <w:t xml:space="preserve">. </w:t>
      </w:r>
    </w:p>
    <w:p w14:paraId="5DE5B2B1" w14:textId="1BDC7077" w:rsidR="008937DE" w:rsidRDefault="008937DE" w:rsidP="008937DE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Bibliografia</w:t>
      </w:r>
      <w:r w:rsidR="008950E5">
        <w:rPr>
          <w:b/>
          <w:bCs/>
          <w:u w:val="single"/>
        </w:rPr>
        <w:t xml:space="preserve"> </w:t>
      </w:r>
    </w:p>
    <w:p w14:paraId="130D7B9F" w14:textId="1CDBC544" w:rsidR="00F46527" w:rsidRPr="00F46527" w:rsidRDefault="00F46527" w:rsidP="00D77FEE">
      <w:pPr>
        <w:spacing w:after="0"/>
        <w:rPr>
          <w:b/>
          <w:bCs/>
          <w:i/>
          <w:iCs/>
        </w:rPr>
      </w:pPr>
      <w:bookmarkStart w:id="0" w:name="_Hlk213230989"/>
      <w:r w:rsidRPr="00F46527">
        <w:rPr>
          <w:b/>
          <w:bCs/>
          <w:i/>
          <w:iCs/>
        </w:rPr>
        <w:t>Manuali</w:t>
      </w:r>
    </w:p>
    <w:p w14:paraId="14957B07" w14:textId="2A0E3F72" w:rsidR="00F46527" w:rsidRPr="000D0CE9" w:rsidRDefault="00F46527" w:rsidP="00F46527">
      <w:pPr>
        <w:spacing w:after="0" w:line="240" w:lineRule="auto"/>
      </w:pPr>
      <w:bookmarkStart w:id="1" w:name="_Hlk212801421"/>
      <w:r>
        <w:t xml:space="preserve">FILORAMO G., MASSENZIO M., RAVERI M., SCARPI P., </w:t>
      </w:r>
      <w:r w:rsidRPr="000D0CE9">
        <w:rPr>
          <w:i/>
          <w:iCs/>
        </w:rPr>
        <w:t>Manuale di storia delle religioni</w:t>
      </w:r>
      <w:r>
        <w:rPr>
          <w:i/>
          <w:iCs/>
        </w:rPr>
        <w:t xml:space="preserve">, </w:t>
      </w:r>
      <w:r>
        <w:t>Editori Laterza, 1998</w:t>
      </w:r>
      <w:r>
        <w:rPr>
          <w:vertAlign w:val="superscript"/>
        </w:rPr>
        <w:t>31</w:t>
      </w:r>
      <w:r w:rsidR="00013FB5">
        <w:t>, cap.I</w:t>
      </w:r>
      <w:r>
        <w:t>.</w:t>
      </w:r>
    </w:p>
    <w:p w14:paraId="20E10E46" w14:textId="1158F8A0" w:rsidR="00F46527" w:rsidRPr="00F46527" w:rsidRDefault="00F46527" w:rsidP="00F46527">
      <w:pPr>
        <w:spacing w:after="0"/>
      </w:pPr>
      <w:bookmarkStart w:id="2" w:name="_Hlk212801435"/>
      <w:bookmarkEnd w:id="1"/>
      <w:r>
        <w:t xml:space="preserve">GUERRA MANUEL, </w:t>
      </w:r>
      <w:r>
        <w:rPr>
          <w:i/>
          <w:iCs/>
        </w:rPr>
        <w:t>Storia delle religioni,</w:t>
      </w:r>
      <w:r>
        <w:t xml:space="preserve"> Editrice La Scuola, 1993</w:t>
      </w:r>
      <w:r>
        <w:rPr>
          <w:vertAlign w:val="superscript"/>
        </w:rPr>
        <w:t>6</w:t>
      </w:r>
      <w:r>
        <w:t>; parte prima, capp. 1-5</w:t>
      </w:r>
      <w:r w:rsidR="00722D1F">
        <w:t>, 15</w:t>
      </w:r>
      <w:r>
        <w:t>; parte seconda, capp. 4-5.</w:t>
      </w:r>
    </w:p>
    <w:bookmarkEnd w:id="0"/>
    <w:bookmarkEnd w:id="2"/>
    <w:p w14:paraId="18F917B5" w14:textId="53A5E7B3" w:rsidR="00F46527" w:rsidRPr="00F46527" w:rsidRDefault="00F46527" w:rsidP="00D77FEE">
      <w:pPr>
        <w:spacing w:after="0"/>
        <w:rPr>
          <w:b/>
          <w:bCs/>
          <w:i/>
          <w:iCs/>
        </w:rPr>
      </w:pPr>
      <w:r w:rsidRPr="00F46527">
        <w:rPr>
          <w:b/>
          <w:bCs/>
          <w:i/>
          <w:iCs/>
        </w:rPr>
        <w:t xml:space="preserve">Monografie </w:t>
      </w:r>
    </w:p>
    <w:p w14:paraId="45C4D1A4" w14:textId="6A567D30" w:rsidR="00D77FEE" w:rsidRDefault="00D77FEE" w:rsidP="00D77FEE">
      <w:pPr>
        <w:spacing w:after="0"/>
      </w:pPr>
      <w:r>
        <w:t>AA.VV.</w:t>
      </w:r>
      <w:r>
        <w:rPr>
          <w:i/>
          <w:iCs/>
        </w:rPr>
        <w:t xml:space="preserve">, La grande dea dell’Anatolia, </w:t>
      </w:r>
      <w:r>
        <w:t xml:space="preserve">in </w:t>
      </w:r>
      <w:r>
        <w:rPr>
          <w:i/>
          <w:iCs/>
        </w:rPr>
        <w:t xml:space="preserve">Sette e religioni, n. 51, </w:t>
      </w:r>
      <w:r>
        <w:t>GRIS – ESD.</w:t>
      </w:r>
    </w:p>
    <w:p w14:paraId="1D24E351" w14:textId="77777777" w:rsidR="008937DE" w:rsidRDefault="008937DE" w:rsidP="008937DE">
      <w:pPr>
        <w:spacing w:after="0"/>
      </w:pPr>
      <w:r>
        <w:t>AA.VV.</w:t>
      </w:r>
      <w:r>
        <w:rPr>
          <w:i/>
          <w:iCs/>
        </w:rPr>
        <w:t xml:space="preserve">, Religioni africane, </w:t>
      </w:r>
      <w:r>
        <w:t xml:space="preserve">in </w:t>
      </w:r>
      <w:r>
        <w:rPr>
          <w:i/>
          <w:iCs/>
        </w:rPr>
        <w:t xml:space="preserve">Sette e religioni, n. 27, </w:t>
      </w:r>
      <w:r>
        <w:t>GRIS – ESD.</w:t>
      </w:r>
    </w:p>
    <w:p w14:paraId="79472EF3" w14:textId="1B9369C7" w:rsidR="00125B1C" w:rsidRPr="00125B1C" w:rsidRDefault="00125B1C" w:rsidP="008937DE">
      <w:pPr>
        <w:spacing w:after="0"/>
      </w:pPr>
      <w:r>
        <w:rPr>
          <w:i/>
          <w:iCs/>
        </w:rPr>
        <w:t xml:space="preserve">Storia delle religioni </w:t>
      </w:r>
      <w:r>
        <w:t>(a cura di Henri-Charles Puech), 18. I popoli senza scrittura, vol. I – II, UL, 1978</w:t>
      </w:r>
    </w:p>
    <w:sectPr w:rsidR="00125B1C" w:rsidRPr="00125B1C" w:rsidSect="008D5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2F59"/>
    <w:multiLevelType w:val="hybridMultilevel"/>
    <w:tmpl w:val="503C98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32F26"/>
    <w:multiLevelType w:val="hybridMultilevel"/>
    <w:tmpl w:val="72268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F6E14"/>
    <w:multiLevelType w:val="hybridMultilevel"/>
    <w:tmpl w:val="A48276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934285">
    <w:abstractNumId w:val="2"/>
  </w:num>
  <w:num w:numId="2" w16cid:durableId="1876236579">
    <w:abstractNumId w:val="0"/>
  </w:num>
  <w:num w:numId="3" w16cid:durableId="2005012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DE"/>
    <w:rsid w:val="00013FB5"/>
    <w:rsid w:val="000D0CE9"/>
    <w:rsid w:val="00125B1C"/>
    <w:rsid w:val="00134C9D"/>
    <w:rsid w:val="00202003"/>
    <w:rsid w:val="00343CB6"/>
    <w:rsid w:val="0035107D"/>
    <w:rsid w:val="00353A1F"/>
    <w:rsid w:val="003A2663"/>
    <w:rsid w:val="00436FC2"/>
    <w:rsid w:val="00460E95"/>
    <w:rsid w:val="00722D1F"/>
    <w:rsid w:val="0073222C"/>
    <w:rsid w:val="00771BC6"/>
    <w:rsid w:val="008937DE"/>
    <w:rsid w:val="008950E5"/>
    <w:rsid w:val="008C7390"/>
    <w:rsid w:val="008D5C09"/>
    <w:rsid w:val="00922D56"/>
    <w:rsid w:val="00971FFE"/>
    <w:rsid w:val="009D0E41"/>
    <w:rsid w:val="00A70A2B"/>
    <w:rsid w:val="00BB09D0"/>
    <w:rsid w:val="00C7500E"/>
    <w:rsid w:val="00D77FEE"/>
    <w:rsid w:val="00DC17F2"/>
    <w:rsid w:val="00E16356"/>
    <w:rsid w:val="00EF1EF9"/>
    <w:rsid w:val="00F46527"/>
    <w:rsid w:val="00F54003"/>
    <w:rsid w:val="00F835C7"/>
    <w:rsid w:val="00F96536"/>
    <w:rsid w:val="00F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62FE"/>
  <w15:chartTrackingRefBased/>
  <w15:docId w15:val="{DB860B99-75C9-43C6-A2EF-BF63D970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7DE"/>
  </w:style>
  <w:style w:type="paragraph" w:styleId="Titolo1">
    <w:name w:val="heading 1"/>
    <w:basedOn w:val="Normale"/>
    <w:next w:val="Normale"/>
    <w:link w:val="Titolo1Carattere"/>
    <w:uiPriority w:val="9"/>
    <w:qFormat/>
    <w:rsid w:val="00343C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3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D5C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8937DE"/>
    <w:pPr>
      <w:tabs>
        <w:tab w:val="right" w:leader="dot" w:pos="9628"/>
      </w:tabs>
      <w:spacing w:after="0"/>
    </w:pPr>
    <w:rPr>
      <w:b/>
      <w:bCs/>
      <w:i/>
      <w:iCs/>
      <w:noProof/>
    </w:rPr>
  </w:style>
  <w:style w:type="character" w:customStyle="1" w:styleId="Titolo1Carattere">
    <w:name w:val="Titolo 1 Carattere"/>
    <w:basedOn w:val="Carpredefinitoparagrafo"/>
    <w:link w:val="Titolo1"/>
    <w:uiPriority w:val="9"/>
    <w:rsid w:val="00343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3C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343CB6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D5C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14A8-C937-4EA9-9BDA-68FB8B24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9</cp:revision>
  <dcterms:created xsi:type="dcterms:W3CDTF">2025-10-16T10:47:00Z</dcterms:created>
  <dcterms:modified xsi:type="dcterms:W3CDTF">2025-11-05T09:42:00Z</dcterms:modified>
</cp:coreProperties>
</file>