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926E8" w14:textId="344151FB" w:rsidR="00F0539B" w:rsidRDefault="00F0539B" w:rsidP="00F0539B">
      <w:pPr>
        <w:pStyle w:val="Titolo2"/>
        <w:rPr>
          <w:noProof/>
        </w:rPr>
      </w:pPr>
      <w:r>
        <w:t xml:space="preserve">CAPITOLO PRIMO – Il </w:t>
      </w:r>
      <w:r w:rsidRPr="00813B2B">
        <w:rPr>
          <w:noProof/>
        </w:rPr>
        <w:t>cristianesimo e le altre religioni: conoscenza</w:t>
      </w:r>
      <w:r>
        <w:rPr>
          <w:noProof/>
        </w:rPr>
        <w:t xml:space="preserve"> e</w:t>
      </w:r>
      <w:r w:rsidRPr="00813B2B">
        <w:rPr>
          <w:noProof/>
        </w:rPr>
        <w:t xml:space="preserve"> discernimento</w:t>
      </w:r>
    </w:p>
    <w:p w14:paraId="68B0E9B1" w14:textId="77777777" w:rsidR="00F0539B" w:rsidRDefault="00F0539B" w:rsidP="00F0539B">
      <w:pPr>
        <w:pStyle w:val="Titolo2"/>
        <w:rPr>
          <w:noProof/>
        </w:rPr>
      </w:pPr>
      <w:r>
        <w:rPr>
          <w:noProof/>
        </w:rPr>
        <w:t>1. Lo status quaestionis</w:t>
      </w:r>
    </w:p>
    <w:p w14:paraId="66022D4D" w14:textId="77777777" w:rsidR="00F0539B" w:rsidRDefault="00F0539B" w:rsidP="00F0539B">
      <w:r>
        <w:t xml:space="preserve">Cfr. COMMISSIONE TEOLOGICA INTERNAZIONALE, </w:t>
      </w:r>
      <w:r>
        <w:rPr>
          <w:i/>
          <w:iCs/>
        </w:rPr>
        <w:t>I</w:t>
      </w:r>
      <w:r w:rsidRPr="00082334">
        <w:rPr>
          <w:i/>
          <w:iCs/>
        </w:rPr>
        <w:t>l cristianesimo e le religioni</w:t>
      </w:r>
      <w:r>
        <w:rPr>
          <w:i/>
          <w:iCs/>
        </w:rPr>
        <w:t xml:space="preserve">. </w:t>
      </w:r>
      <w:r>
        <w:t>Per una teologia delle religioni e il discernimento cristiano sulle religioni non cristiane (in seguito CR).</w:t>
      </w:r>
    </w:p>
    <w:p w14:paraId="7C90C26E" w14:textId="77777777" w:rsidR="00F0539B" w:rsidRDefault="00F0539B" w:rsidP="00F0539B">
      <w:pPr>
        <w:spacing w:after="0" w:line="240" w:lineRule="auto"/>
        <w:jc w:val="both"/>
      </w:pPr>
      <w:r w:rsidRPr="00A71529">
        <w:rPr>
          <w:u w:val="single"/>
        </w:rPr>
        <w:t>La questione di fondo</w:t>
      </w:r>
      <w:r>
        <w:t>: le religioni sono mediazioni di salvezza per i loro seguaci? (CR 8)</w:t>
      </w:r>
    </w:p>
    <w:p w14:paraId="587FDF89" w14:textId="77777777" w:rsidR="00F0539B" w:rsidRDefault="00F0539B" w:rsidP="00F0539B">
      <w:pPr>
        <w:spacing w:after="0" w:line="240" w:lineRule="auto"/>
        <w:jc w:val="both"/>
      </w:pPr>
      <w:r>
        <w:t xml:space="preserve">Le risposte: </w:t>
      </w:r>
    </w:p>
    <w:p w14:paraId="3CAF6210" w14:textId="77777777" w:rsidR="00F0539B" w:rsidRDefault="00F0539B" w:rsidP="00F0539B">
      <w:pPr>
        <w:pStyle w:val="Paragrafoelenco"/>
        <w:numPr>
          <w:ilvl w:val="0"/>
          <w:numId w:val="1"/>
        </w:numPr>
        <w:spacing w:after="0" w:line="240" w:lineRule="auto"/>
        <w:jc w:val="both"/>
      </w:pPr>
      <w:r>
        <w:t>Negativa</w:t>
      </w:r>
    </w:p>
    <w:p w14:paraId="2F51CABE" w14:textId="77777777" w:rsidR="00F0539B" w:rsidRDefault="00F0539B" w:rsidP="00F0539B">
      <w:pPr>
        <w:pStyle w:val="Paragrafoelenco"/>
        <w:numPr>
          <w:ilvl w:val="0"/>
          <w:numId w:val="1"/>
        </w:numPr>
        <w:spacing w:after="0" w:line="240" w:lineRule="auto"/>
        <w:jc w:val="both"/>
      </w:pPr>
      <w:r>
        <w:t>Totalmente affermativa: si, in sé.</w:t>
      </w:r>
    </w:p>
    <w:p w14:paraId="6FDBA713" w14:textId="77777777" w:rsidR="00F0539B" w:rsidRDefault="00F0539B" w:rsidP="00F0539B">
      <w:pPr>
        <w:pStyle w:val="Paragrafoelenco"/>
        <w:numPr>
          <w:ilvl w:val="0"/>
          <w:numId w:val="1"/>
        </w:numPr>
        <w:spacing w:after="0" w:line="240" w:lineRule="auto"/>
        <w:jc w:val="both"/>
      </w:pPr>
      <w:r>
        <w:t>Affermativa ma non autonoma: si, ma nell’inserimento nella storia della salvezza compiuta in Cristo.</w:t>
      </w:r>
    </w:p>
    <w:p w14:paraId="58A56BC0" w14:textId="77777777" w:rsidR="00F0539B" w:rsidRDefault="00F0539B" w:rsidP="00F0539B">
      <w:pPr>
        <w:spacing w:after="0" w:line="240" w:lineRule="auto"/>
        <w:jc w:val="both"/>
        <w:rPr>
          <w:u w:val="single"/>
        </w:rPr>
      </w:pPr>
    </w:p>
    <w:p w14:paraId="5D239BA9" w14:textId="77777777" w:rsidR="00F0539B" w:rsidRDefault="00F0539B" w:rsidP="00F0539B">
      <w:pPr>
        <w:spacing w:after="0" w:line="240" w:lineRule="auto"/>
        <w:jc w:val="both"/>
        <w:rPr>
          <w:u w:val="single"/>
        </w:rPr>
      </w:pPr>
      <w:r w:rsidRPr="00A71529">
        <w:rPr>
          <w:u w:val="single"/>
        </w:rPr>
        <w:t>Le diverse posizioni teologiche</w:t>
      </w:r>
      <w:r>
        <w:rPr>
          <w:u w:val="single"/>
        </w:rPr>
        <w:t xml:space="preserve"> (CR 9-12):</w:t>
      </w:r>
    </w:p>
    <w:p w14:paraId="3A178659" w14:textId="77777777" w:rsidR="00F0539B" w:rsidRPr="00586CE3" w:rsidRDefault="00F0539B" w:rsidP="00F0539B">
      <w:pPr>
        <w:pStyle w:val="Paragrafoelenco"/>
        <w:numPr>
          <w:ilvl w:val="0"/>
          <w:numId w:val="2"/>
        </w:numPr>
        <w:spacing w:after="0" w:line="240" w:lineRule="auto"/>
        <w:jc w:val="both"/>
        <w:rPr>
          <w:i/>
          <w:iCs/>
        </w:rPr>
      </w:pPr>
      <w:r w:rsidRPr="00A71529">
        <w:t>L’ecclesiocentrismo esclusivista</w:t>
      </w:r>
      <w:r>
        <w:t xml:space="preserve">, </w:t>
      </w:r>
      <w:r>
        <w:rPr>
          <w:i/>
          <w:iCs/>
        </w:rPr>
        <w:t>extra ecclesiam nulla salus</w:t>
      </w:r>
      <w:r>
        <w:t xml:space="preserve">, forzatura errata </w:t>
      </w:r>
      <w:r w:rsidRPr="002576C2">
        <w:t>dell’</w:t>
      </w:r>
      <w:r w:rsidRPr="002576C2">
        <w:rPr>
          <w:i/>
          <w:iCs/>
        </w:rPr>
        <w:t>extra Christum nulla salus</w:t>
      </w:r>
      <w:r>
        <w:rPr>
          <w:i/>
          <w:iCs/>
        </w:rPr>
        <w:t xml:space="preserve">. </w:t>
      </w:r>
      <w:r>
        <w:t xml:space="preserve">Non accettabile (CR 64-70): </w:t>
      </w:r>
    </w:p>
    <w:p w14:paraId="3389EA03" w14:textId="77777777" w:rsidR="00F0539B" w:rsidRDefault="00F0539B" w:rsidP="00F0539B">
      <w:pPr>
        <w:pStyle w:val="Paragrafoelenco"/>
        <w:spacing w:after="0" w:line="240" w:lineRule="auto"/>
        <w:jc w:val="both"/>
      </w:pPr>
      <w:r>
        <w:t xml:space="preserve">Cfr. Interpretazione di Pio XII in </w:t>
      </w:r>
      <w:r w:rsidRPr="00B70DD8">
        <w:rPr>
          <w:i/>
          <w:iCs/>
        </w:rPr>
        <w:t>Mystici Corporis</w:t>
      </w:r>
      <w:r>
        <w:t xml:space="preserve"> (e Lettera del Sant’Uffizio all’Arcivescovo di Boston): per appartenere alla Chiesa basta anche un inconsapevole anelito e desiderio di salvezza sempre presente quando un uomo aspira a conformare la sua volontà a quella di Dio.</w:t>
      </w:r>
    </w:p>
    <w:p w14:paraId="4CE33B39" w14:textId="77777777" w:rsidR="00F0539B" w:rsidRPr="002576C2" w:rsidRDefault="00F0539B" w:rsidP="00F0539B">
      <w:pPr>
        <w:pStyle w:val="Paragrafoelenco"/>
        <w:numPr>
          <w:ilvl w:val="0"/>
          <w:numId w:val="2"/>
        </w:numPr>
        <w:spacing w:after="0" w:line="240" w:lineRule="auto"/>
        <w:jc w:val="both"/>
        <w:rPr>
          <w:i/>
          <w:iCs/>
        </w:rPr>
      </w:pPr>
      <w:r>
        <w:t>Il cristocentrismo “normativo”</w:t>
      </w:r>
    </w:p>
    <w:p w14:paraId="4463D425" w14:textId="77777777" w:rsidR="00F0539B" w:rsidRPr="002576C2" w:rsidRDefault="00F0539B" w:rsidP="00F0539B">
      <w:pPr>
        <w:pStyle w:val="Paragrafoelenco"/>
        <w:numPr>
          <w:ilvl w:val="0"/>
          <w:numId w:val="2"/>
        </w:numPr>
        <w:spacing w:after="0" w:line="240" w:lineRule="auto"/>
        <w:jc w:val="both"/>
        <w:rPr>
          <w:i/>
          <w:iCs/>
        </w:rPr>
      </w:pPr>
      <w:r>
        <w:t>Il cristocentrismo “inclusivista”</w:t>
      </w:r>
    </w:p>
    <w:p w14:paraId="44CE727F" w14:textId="77777777" w:rsidR="00F0539B" w:rsidRPr="002576C2" w:rsidRDefault="00F0539B" w:rsidP="00F0539B">
      <w:pPr>
        <w:pStyle w:val="Paragrafoelenco"/>
        <w:numPr>
          <w:ilvl w:val="0"/>
          <w:numId w:val="2"/>
        </w:numPr>
        <w:spacing w:after="0" w:line="240" w:lineRule="auto"/>
        <w:jc w:val="both"/>
        <w:rPr>
          <w:i/>
          <w:iCs/>
        </w:rPr>
      </w:pPr>
      <w:r>
        <w:t>Il teocentrismo cristologico =&gt; Cristo ha rivelato in modo perfetto, chiaro e decisivo l’amore di Dio, ma non esclude altre mediazioni salvifiche “imperfette” (CR 19)</w:t>
      </w:r>
    </w:p>
    <w:p w14:paraId="3F0B50EC" w14:textId="77777777" w:rsidR="00F0539B" w:rsidRPr="000565D0" w:rsidRDefault="00F0539B" w:rsidP="00F0539B">
      <w:pPr>
        <w:pStyle w:val="Paragrafoelenco"/>
        <w:numPr>
          <w:ilvl w:val="0"/>
          <w:numId w:val="2"/>
        </w:numPr>
        <w:spacing w:after="0" w:line="240" w:lineRule="auto"/>
        <w:jc w:val="both"/>
        <w:rPr>
          <w:i/>
          <w:iCs/>
        </w:rPr>
      </w:pPr>
      <w:r>
        <w:t xml:space="preserve">Il teocentrismo inclusivista =&gt; pluralismo religioso (CR 16-17): ogni religione ha valore salvifico rispetto all’uomo, al di là della verità e della concezione di Dio che rimane Altro e inconoscibile. Ma tralasciare il problema della verità e mettere superficialmente sullo stesso piano tutte le religioni conduce al relativismo: se tutte sono vere allo stesso tempo sono tutte false, perché ognuna è imperfetta e inadeguata e non può rivendicare l’esclusività della verità!!! (CR 13-14) Per stabilire il criterio di verità di una religione che al contempo sia accettato dalle altre, questo deve situarsi al di fuori di essa e perciò non può essere un criterio immanente (CR 15). </w:t>
      </w:r>
    </w:p>
    <w:p w14:paraId="302C3EF5" w14:textId="77777777" w:rsidR="00F0539B" w:rsidRPr="006D57E8" w:rsidRDefault="00F0539B" w:rsidP="00F0539B">
      <w:pPr>
        <w:pStyle w:val="Paragrafoelenco"/>
        <w:spacing w:after="0" w:line="240" w:lineRule="auto"/>
        <w:jc w:val="both"/>
        <w:rPr>
          <w:i/>
          <w:iCs/>
        </w:rPr>
      </w:pPr>
      <w:r>
        <w:t>Inoltre, svincolando in concreto Cristo da Dio priva il cristianesimo da qualsiasi pretesa universalistica della salvezza per favori un dialogo alla pari con le altre religioni, MA nega la fede della Chiesa (cfr. Nicea e Calcedonia) in Gesù Figlio di Dio e la sua duplice natura (CR 20-22).</w:t>
      </w:r>
    </w:p>
    <w:p w14:paraId="2C7812F3" w14:textId="77777777" w:rsidR="00F0539B" w:rsidRDefault="00F0539B" w:rsidP="00F0539B">
      <w:pPr>
        <w:spacing w:after="0" w:line="240" w:lineRule="auto"/>
        <w:jc w:val="both"/>
        <w:rPr>
          <w:b/>
          <w:bCs/>
        </w:rPr>
      </w:pPr>
    </w:p>
    <w:p w14:paraId="157BB4DE" w14:textId="77777777" w:rsidR="00F0539B" w:rsidRDefault="00F0539B" w:rsidP="00F0539B">
      <w:pPr>
        <w:spacing w:after="0" w:line="240" w:lineRule="auto"/>
        <w:jc w:val="both"/>
        <w:rPr>
          <w:b/>
          <w:bCs/>
        </w:rPr>
      </w:pPr>
      <w:r>
        <w:rPr>
          <w:b/>
          <w:bCs/>
        </w:rPr>
        <w:t>I PRESUPPOSTI TEOLOGICI FONDAMENTALI</w:t>
      </w:r>
    </w:p>
    <w:p w14:paraId="45D67227" w14:textId="77777777" w:rsidR="00F0539B" w:rsidRDefault="00F0539B" w:rsidP="00F0539B">
      <w:pPr>
        <w:spacing w:after="0" w:line="240" w:lineRule="auto"/>
        <w:jc w:val="both"/>
      </w:pPr>
      <w:r>
        <w:rPr>
          <w:b/>
          <w:bCs/>
        </w:rPr>
        <w:t xml:space="preserve">1. L’iniziativa del Padre nell’unica storia della salvezza </w:t>
      </w:r>
      <w:r>
        <w:t>(CR 27-31)</w:t>
      </w:r>
    </w:p>
    <w:p w14:paraId="4EE62346" w14:textId="77777777" w:rsidR="00F0539B" w:rsidRDefault="00F0539B" w:rsidP="00F0539B">
      <w:pPr>
        <w:spacing w:after="0" w:line="240" w:lineRule="auto"/>
        <w:jc w:val="both"/>
      </w:pPr>
      <w:r>
        <w:rPr>
          <w:b/>
          <w:bCs/>
        </w:rPr>
        <w:t xml:space="preserve">2. L’unica mediazione di Gesù </w:t>
      </w:r>
      <w:r>
        <w:t>(CR 32-39)</w:t>
      </w:r>
    </w:p>
    <w:p w14:paraId="6DE41DDA" w14:textId="77777777" w:rsidR="00F0539B" w:rsidRDefault="00F0539B" w:rsidP="00F0539B">
      <w:pPr>
        <w:spacing w:after="0" w:line="240" w:lineRule="auto"/>
        <w:jc w:val="both"/>
        <w:rPr>
          <w:b/>
          <w:bCs/>
        </w:rPr>
      </w:pPr>
      <w:r>
        <w:rPr>
          <w:b/>
          <w:bCs/>
        </w:rPr>
        <w:t>3. L’universalità della volontà salvifica di Dio in Cristo unico mediatore e salvatore</w:t>
      </w:r>
    </w:p>
    <w:p w14:paraId="635A23D6" w14:textId="77777777" w:rsidR="00F0539B" w:rsidRDefault="00F0539B" w:rsidP="00F0539B">
      <w:pPr>
        <w:pStyle w:val="Paragrafoelenco"/>
        <w:numPr>
          <w:ilvl w:val="0"/>
          <w:numId w:val="3"/>
        </w:numPr>
        <w:spacing w:after="0" w:line="240" w:lineRule="auto"/>
        <w:jc w:val="both"/>
        <w:rPr>
          <w:b/>
          <w:bCs/>
        </w:rPr>
      </w:pPr>
      <w:r>
        <w:rPr>
          <w:b/>
          <w:bCs/>
        </w:rPr>
        <w:t xml:space="preserve">I </w:t>
      </w:r>
      <w:r>
        <w:rPr>
          <w:b/>
          <w:bCs/>
          <w:i/>
          <w:iCs/>
        </w:rPr>
        <w:t xml:space="preserve">semina Verbi: </w:t>
      </w:r>
      <w:r>
        <w:t>(CR 40-49)</w:t>
      </w:r>
    </w:p>
    <w:p w14:paraId="141DBB76" w14:textId="77777777" w:rsidR="00F0539B" w:rsidRDefault="00F0539B" w:rsidP="00F0539B">
      <w:pPr>
        <w:pStyle w:val="Paragrafoelenco"/>
        <w:spacing w:after="0" w:line="240" w:lineRule="auto"/>
        <w:jc w:val="both"/>
      </w:pPr>
      <w:r>
        <w:t xml:space="preserve">San Giustino: I filosofi hanno seguito la ragione, il Logos. Ma la pienezza del Logos è il Cristo, Logos incarnato. Chi da sempre ha vissuto secondo il Logos è un “cristiano ante litteram”, spinto dalla grazia del Logos di Dio che è il Verbo eterno che ha seminato negli uomini i </w:t>
      </w:r>
      <w:r>
        <w:rPr>
          <w:i/>
          <w:iCs/>
        </w:rPr>
        <w:t>semi di verità, logoi spermatikoi</w:t>
      </w:r>
      <w:r>
        <w:t>.</w:t>
      </w:r>
    </w:p>
    <w:p w14:paraId="53AD54DD" w14:textId="77777777" w:rsidR="00F0539B" w:rsidRDefault="00F0539B" w:rsidP="00F0539B">
      <w:pPr>
        <w:pStyle w:val="Paragrafoelenco"/>
        <w:spacing w:after="0" w:line="240" w:lineRule="auto"/>
        <w:jc w:val="both"/>
      </w:pPr>
      <w:r>
        <w:t>Clemente Alessandrino: Con l’incarnazione Gesù, il Logos incarnato, ha seminato nel mondo in modo pieno i suoi semi di verità, ma la semina era cominciata fin dalla creazione. I filosofi hanno colto questi semi: la filosofia ha avuto per i greci una funzione simile a quella della legge per gli ebrei.</w:t>
      </w:r>
    </w:p>
    <w:p w14:paraId="3B9D8890" w14:textId="77777777" w:rsidR="00F0539B" w:rsidRDefault="00F0539B" w:rsidP="00F0539B">
      <w:pPr>
        <w:pStyle w:val="Paragrafoelenco"/>
        <w:spacing w:after="0" w:line="240" w:lineRule="auto"/>
        <w:jc w:val="both"/>
      </w:pPr>
      <w:r>
        <w:t>Ireneo: In vista dell’incarnazione il Logos ha accompagnato il cammino dell’umanità anticipandone lungo la storia i suoi effetti.</w:t>
      </w:r>
    </w:p>
    <w:p w14:paraId="258CD3D5" w14:textId="77777777" w:rsidR="00F0539B" w:rsidRDefault="00F0539B" w:rsidP="00F0539B">
      <w:pPr>
        <w:pStyle w:val="Paragrafoelenco"/>
        <w:spacing w:after="0" w:line="240" w:lineRule="auto"/>
        <w:jc w:val="both"/>
      </w:pPr>
      <w:r>
        <w:t xml:space="preserve">La presenza del Logos nell’umanità tramite i suoi semi, però non esclude errori né contraddizioni, solo a partire dall’incarnazione si coglie il senso ultimo della storia della salvezza che lui porta a compimento. Solo nella Chiesa che è la continuità storica e sacramentale con Cristo si può vivere pienamente il suo mistero: da qui la necessità della missione come ineludibile annuncio di Cristo da parte della Chiesa. Essendo Cristo l’unico mediatore si deve escludere l’esistenza di economie diverse per quelli che credono in lui e per quelli che non credono in lui. Non ci possono essere vie per andare </w:t>
      </w:r>
      <w:r>
        <w:lastRenderedPageBreak/>
        <w:t>a Dio che non confluiscano nell’unica via che è Cristo. Non ci possono essere semi del Verbo che non siano essi stessi semi del Verbo incarnato! Non c’è Logos che non sia Gesù!</w:t>
      </w:r>
    </w:p>
    <w:p w14:paraId="26A74BDA" w14:textId="77777777" w:rsidR="00F0539B" w:rsidRPr="003A1368" w:rsidRDefault="00F0539B" w:rsidP="00F0539B">
      <w:pPr>
        <w:pStyle w:val="Paragrafoelenco"/>
        <w:numPr>
          <w:ilvl w:val="0"/>
          <w:numId w:val="3"/>
        </w:numPr>
        <w:spacing w:after="0" w:line="240" w:lineRule="auto"/>
        <w:jc w:val="both"/>
      </w:pPr>
      <w:r>
        <w:rPr>
          <w:b/>
          <w:bCs/>
          <w:i/>
          <w:iCs/>
        </w:rPr>
        <w:t>L’azione universale dello Spirito e la preparazione evangelica</w:t>
      </w:r>
      <w:r>
        <w:t xml:space="preserve"> (CR 50-61)</w:t>
      </w:r>
    </w:p>
    <w:p w14:paraId="7B15A9E2" w14:textId="77777777" w:rsidR="00F0539B" w:rsidRDefault="00F0539B" w:rsidP="00F0539B">
      <w:pPr>
        <w:pStyle w:val="Paragrafoelenco"/>
        <w:spacing w:after="0" w:line="240" w:lineRule="auto"/>
        <w:jc w:val="both"/>
      </w:pPr>
      <w:r>
        <w:t>Lo Spirito di Dio riempie l’universo e agisce su ogni uomo nella storia del mondo. Ma la pienezza dello Spirito Santo è riversata dal Padre nel Figlio e tramite il Figlio lo Spirito è riversato, nella Chiesa, suo corpo, in ogni battezzato. Lo Spirito continua a soffiare su ogni uomo e dirige tutti gli uomini verso il Cristo che a sua volta li dirige verso il Padre, anche se la via concreta per la quale conduce gli uomini è nota soltanto a Dio. Perciò non ha senso affermare un’universalità dell’azione dello Spirito che non si trovi in relazione con il significato di Gesù, il Figlio incarnato, morto e risorto. Lo Spirito è sempre e insieme del Padre e del Figlio. Non c’è Spirito che non sia di Cristo</w:t>
      </w:r>
    </w:p>
    <w:p w14:paraId="09232C14" w14:textId="77777777" w:rsidR="00F0539B" w:rsidRPr="009546B8" w:rsidRDefault="00F0539B" w:rsidP="00F0539B">
      <w:pPr>
        <w:spacing w:after="0" w:line="240" w:lineRule="auto"/>
        <w:jc w:val="both"/>
      </w:pPr>
      <w:r>
        <w:rPr>
          <w:b/>
          <w:bCs/>
        </w:rPr>
        <w:t xml:space="preserve">4. La Chiesa, sacramento universale di salvezza </w:t>
      </w:r>
      <w:r>
        <w:t>(CR 71-79)</w:t>
      </w:r>
    </w:p>
    <w:p w14:paraId="255EC12D" w14:textId="77777777" w:rsidR="00F0539B" w:rsidRDefault="00F0539B" w:rsidP="00F0539B">
      <w:pPr>
        <w:spacing w:after="0" w:line="240" w:lineRule="auto"/>
        <w:jc w:val="both"/>
      </w:pPr>
      <w:r>
        <w:t>Cfr. LG 14-16. L’appartenenza necessaria alla Chiesa visibile è necessaria solo per i battezzati. I non cristiani sono destinatari anch’essi della volontà salvifica di Dio e sono ordinati in vari gradi al popolo di Dio:</w:t>
      </w:r>
    </w:p>
    <w:p w14:paraId="3F25A0E2" w14:textId="77777777" w:rsidR="00F0539B" w:rsidRDefault="00F0539B" w:rsidP="00F0539B">
      <w:pPr>
        <w:pStyle w:val="Paragrafoelenco"/>
        <w:numPr>
          <w:ilvl w:val="0"/>
          <w:numId w:val="4"/>
        </w:numPr>
        <w:spacing w:after="0" w:line="240" w:lineRule="auto"/>
        <w:jc w:val="both"/>
      </w:pPr>
      <w:r>
        <w:t>Gli ebrei in quanto destinatari delle Promesse</w:t>
      </w:r>
    </w:p>
    <w:p w14:paraId="2199C729" w14:textId="77777777" w:rsidR="00F0539B" w:rsidRDefault="00F0539B" w:rsidP="00F0539B">
      <w:pPr>
        <w:pStyle w:val="Paragrafoelenco"/>
        <w:numPr>
          <w:ilvl w:val="0"/>
          <w:numId w:val="4"/>
        </w:numPr>
        <w:spacing w:after="0" w:line="240" w:lineRule="auto"/>
        <w:jc w:val="both"/>
      </w:pPr>
      <w:r>
        <w:t>I musulmani in quanto fanno riferimento alla fede abramitica</w:t>
      </w:r>
    </w:p>
    <w:p w14:paraId="237A2732" w14:textId="77777777" w:rsidR="00F0539B" w:rsidRDefault="00F0539B" w:rsidP="00F0539B">
      <w:pPr>
        <w:pStyle w:val="Paragrafoelenco"/>
        <w:numPr>
          <w:ilvl w:val="0"/>
          <w:numId w:val="4"/>
        </w:numPr>
        <w:spacing w:after="0" w:line="240" w:lineRule="auto"/>
        <w:jc w:val="both"/>
      </w:pPr>
      <w:r>
        <w:t>Quelli che senza colpa non conoscono il Vangelo di Cristo e la Chiesa ma cercano Dio e si sforzano di seguire la sua volontà obbedendo alla voce della coscienza</w:t>
      </w:r>
    </w:p>
    <w:p w14:paraId="203E5E97" w14:textId="77777777" w:rsidR="00F0539B" w:rsidRDefault="00F0539B" w:rsidP="00F0539B">
      <w:pPr>
        <w:pStyle w:val="Paragrafoelenco"/>
        <w:numPr>
          <w:ilvl w:val="0"/>
          <w:numId w:val="4"/>
        </w:numPr>
        <w:spacing w:after="0" w:line="240" w:lineRule="auto"/>
        <w:jc w:val="both"/>
      </w:pPr>
      <w:r>
        <w:t xml:space="preserve">Quelli che senza colpa non sono giunti a conoscere espressamente Dio ma ciò nonostante si sforzano di condurre una vita retta </w:t>
      </w:r>
    </w:p>
    <w:p w14:paraId="13BF8DE4" w14:textId="77777777" w:rsidR="00F0539B" w:rsidRDefault="00F0539B" w:rsidP="00F0539B">
      <w:pPr>
        <w:spacing w:after="0" w:line="240" w:lineRule="auto"/>
        <w:jc w:val="both"/>
      </w:pPr>
      <w:r>
        <w:t xml:space="preserve">Cfr. GS 22. In tutti gli uomini, anche non cristiani, di buona volontà opera in modo invisibile la grazia e mediante lo Spirito Santo possono essere associati al mistero pasquale e perciò associati pure al mistero del suo Corpo che è la Chiesa. Anche se manca l’appartenenza visibile sono inclusi nella comunità spirituale, secondo l’espressione dei Padri: </w:t>
      </w:r>
      <w:r w:rsidRPr="009546B8">
        <w:rPr>
          <w:i/>
          <w:iCs/>
        </w:rPr>
        <w:t>Ecclesia ab Abel</w:t>
      </w:r>
      <w:r>
        <w:rPr>
          <w:i/>
          <w:iCs/>
        </w:rPr>
        <w:t xml:space="preserve">. </w:t>
      </w:r>
      <w:r>
        <w:t>Chi pratica l’amore per Dio e per il prossimo sarà chiamato a far parte della comunione dei santi.</w:t>
      </w:r>
    </w:p>
    <w:p w14:paraId="36B31ECC" w14:textId="77777777" w:rsidR="00F0539B" w:rsidRDefault="00F0539B" w:rsidP="00F0539B">
      <w:pPr>
        <w:spacing w:after="0" w:line="240" w:lineRule="auto"/>
        <w:jc w:val="both"/>
      </w:pPr>
      <w:r>
        <w:t xml:space="preserve">Cfr. LG 1 e 17. La Chiesa come compagine visibile è tuttavia necessaria alla salvezza in quanto sulla terra e nella storia ne è </w:t>
      </w:r>
      <w:r w:rsidRPr="001A1353">
        <w:rPr>
          <w:i/>
          <w:iCs/>
        </w:rPr>
        <w:t>sacramentum</w:t>
      </w:r>
      <w:r>
        <w:rPr>
          <w:i/>
          <w:iCs/>
        </w:rPr>
        <w:t xml:space="preserve"> </w:t>
      </w:r>
      <w:r>
        <w:t xml:space="preserve">cioè segno e strumento della presenta salvifica di Cristo nel mondo, in quanto suo Corpo e dell’unità del genere umano. In questa sua funzione la Chiesa è chiamata a far sì che &lt;&lt;ogni germe di bene che si trova nel cuore e nella mente degli uomini, o nei riti e culture propri dei popoli, non solo non vada perduto, ma sia purificato, elevato e perfezionato&gt;&gt;. E’ lo Spirito che sospinge tutti gli uomini alla salvezza e all’unità, anche solo nella ricerca e nell’inquietudine religiosa degli uomini. Così mentre la Chiesa visibile si rivela come piccolo gregge, è segno del popolo messianico cui sono chiamati a far parte tutti gli uomini. </w:t>
      </w:r>
    </w:p>
    <w:p w14:paraId="10B15014" w14:textId="77777777" w:rsidR="00F0539B" w:rsidRDefault="00F0539B" w:rsidP="00F0539B">
      <w:pPr>
        <w:spacing w:after="0" w:line="240" w:lineRule="auto"/>
        <w:jc w:val="both"/>
        <w:rPr>
          <w:b/>
          <w:bCs/>
        </w:rPr>
      </w:pPr>
    </w:p>
    <w:p w14:paraId="7D59CC2E" w14:textId="77777777" w:rsidR="00F0539B" w:rsidRPr="007C3B4E" w:rsidRDefault="00F0539B" w:rsidP="008C318B">
      <w:pPr>
        <w:pStyle w:val="Titolo2"/>
      </w:pPr>
      <w:r>
        <w:t>2. Religioni e teologia (cristiana) delle religioni</w:t>
      </w:r>
    </w:p>
    <w:p w14:paraId="78FAF466" w14:textId="77777777" w:rsidR="00F0539B" w:rsidRDefault="00F0539B" w:rsidP="00F0539B">
      <w:r>
        <w:t xml:space="preserve">Cfr. COMMISSIONE TEOLOGICA INTERNAZIONALE, </w:t>
      </w:r>
      <w:r>
        <w:rPr>
          <w:i/>
          <w:iCs/>
        </w:rPr>
        <w:t>I</w:t>
      </w:r>
      <w:r w:rsidRPr="00082334">
        <w:rPr>
          <w:i/>
          <w:iCs/>
        </w:rPr>
        <w:t>l cristianesimo e le religioni</w:t>
      </w:r>
      <w:r>
        <w:rPr>
          <w:i/>
          <w:iCs/>
        </w:rPr>
        <w:t xml:space="preserve">. </w:t>
      </w:r>
      <w:r>
        <w:t>Per una teologia delle religioni e il discernimento cristiano sulle religioni non cristiane (in seguito CR).</w:t>
      </w:r>
    </w:p>
    <w:p w14:paraId="4E7ED847" w14:textId="77777777" w:rsidR="00F0539B" w:rsidRPr="00A71529" w:rsidRDefault="00F0539B" w:rsidP="00F0539B">
      <w:pPr>
        <w:spacing w:after="0" w:line="240" w:lineRule="auto"/>
        <w:rPr>
          <w:u w:val="single"/>
        </w:rPr>
      </w:pPr>
      <w:r w:rsidRPr="00A71529">
        <w:rPr>
          <w:u w:val="single"/>
        </w:rPr>
        <w:t>Premessa</w:t>
      </w:r>
    </w:p>
    <w:p w14:paraId="733BF2EF" w14:textId="77777777" w:rsidR="00F0539B" w:rsidRDefault="00F0539B" w:rsidP="00F0539B">
      <w:pPr>
        <w:spacing w:after="0" w:line="240" w:lineRule="auto"/>
        <w:jc w:val="both"/>
      </w:pPr>
      <w:r>
        <w:t>Lo statuto epistemologico della teologia delle religioni non è ancora ben definito perché non si distinguono chiaramente i presupposti fondamentali per un confronto – rapporto tra il cristianesimo e le religioni non cristiane: gli sforzi compiuti finora non riescono a convincere (CR 6).</w:t>
      </w:r>
    </w:p>
    <w:p w14:paraId="5DE39E2D" w14:textId="77777777" w:rsidR="00F0539B" w:rsidRDefault="00F0539B" w:rsidP="00F0539B">
      <w:pPr>
        <w:spacing w:after="0" w:line="240" w:lineRule="auto"/>
        <w:jc w:val="both"/>
      </w:pPr>
      <w:r>
        <w:rPr>
          <w:i/>
          <w:iCs/>
        </w:rPr>
        <w:t xml:space="preserve">Corollario 1: La difficoltà del cristianesimo è legata all’evento dell’Incarnazione. Come si può avviare un dialogo interreligioso, rispettando tutte le religioni e senza considerarle in partenza come imperfette e inferiori, se riconosciamo in Gesù cristo soltanto il salvatore unico e universale dell’umanità? </w:t>
      </w:r>
      <w:r>
        <w:t>(CR 18).</w:t>
      </w:r>
    </w:p>
    <w:p w14:paraId="00381F29" w14:textId="77777777" w:rsidR="00F0539B" w:rsidRDefault="00F0539B" w:rsidP="00F0539B">
      <w:pPr>
        <w:spacing w:after="0" w:line="240" w:lineRule="auto"/>
        <w:jc w:val="both"/>
      </w:pPr>
      <w:r>
        <w:rPr>
          <w:i/>
          <w:iCs/>
        </w:rPr>
        <w:t xml:space="preserve">Corollario 2: Se tutte le religioni costituiscono in qualche modo una via di salvezza, allora l’invito alla conversione non potrà più essere più l’obiettivo della missione Chiesa, in quanto ciò che importa è che ciascuno viva profondamente la propria fede nella propria religione? </w:t>
      </w:r>
      <w:r>
        <w:t>(CR 23-26).</w:t>
      </w:r>
    </w:p>
    <w:p w14:paraId="04101036" w14:textId="77777777" w:rsidR="00F0539B" w:rsidRPr="002576C2" w:rsidRDefault="00F0539B" w:rsidP="00F0539B">
      <w:pPr>
        <w:spacing w:after="0" w:line="240" w:lineRule="auto"/>
        <w:jc w:val="both"/>
        <w:rPr>
          <w:i/>
          <w:iCs/>
        </w:rPr>
      </w:pPr>
      <w:r>
        <w:rPr>
          <w:i/>
          <w:iCs/>
        </w:rPr>
        <w:t>Nota bene: tale questione non deve essere confusa con quella della salvezza dei singoli, cristiani o no.</w:t>
      </w:r>
    </w:p>
    <w:p w14:paraId="774A9074" w14:textId="77777777" w:rsidR="00F0539B" w:rsidRPr="00586CE3" w:rsidRDefault="00F0539B" w:rsidP="00F0539B">
      <w:pPr>
        <w:spacing w:after="0" w:line="240" w:lineRule="auto"/>
        <w:jc w:val="both"/>
      </w:pPr>
      <w:r>
        <w:rPr>
          <w:i/>
          <w:iCs/>
        </w:rPr>
        <w:t xml:space="preserve">Corollario 3: La questione non è se i singoli uomini possano raggiungere la salvezza anche senza appartenere alla Chiesa Cattolica visibile (cioè essere battezzati). La questione è se si possa ancora parlare della necessità della chiesa per la salvezza e se e come questo principio sia compatibile con la volontà salvifica universale di Dio. </w:t>
      </w:r>
      <w:r>
        <w:t>(CR 62-63)</w:t>
      </w:r>
    </w:p>
    <w:p w14:paraId="02949A22" w14:textId="77777777" w:rsidR="00F0539B" w:rsidRDefault="00F0539B" w:rsidP="00F0539B">
      <w:pPr>
        <w:spacing w:after="0" w:line="240" w:lineRule="auto"/>
        <w:jc w:val="both"/>
      </w:pPr>
      <w:r>
        <w:lastRenderedPageBreak/>
        <w:t>Il cristianesimo dovrà (CR 7):</w:t>
      </w:r>
    </w:p>
    <w:p w14:paraId="19E9AB8C" w14:textId="77777777" w:rsidR="00F0539B" w:rsidRDefault="00F0539B" w:rsidP="00F0539B">
      <w:pPr>
        <w:pStyle w:val="Paragrafoelenco"/>
        <w:numPr>
          <w:ilvl w:val="0"/>
          <w:numId w:val="5"/>
        </w:numPr>
        <w:spacing w:after="0" w:line="240" w:lineRule="auto"/>
        <w:jc w:val="both"/>
      </w:pPr>
      <w:r>
        <w:t>Comprendere e valutare se stesso nel contesto di una pluralità di religioni;</w:t>
      </w:r>
    </w:p>
    <w:p w14:paraId="3466DF3F" w14:textId="77777777" w:rsidR="00F0539B" w:rsidRDefault="00F0539B" w:rsidP="00F0539B">
      <w:pPr>
        <w:pStyle w:val="Paragrafoelenco"/>
        <w:numPr>
          <w:ilvl w:val="0"/>
          <w:numId w:val="5"/>
        </w:numPr>
        <w:spacing w:after="0" w:line="240" w:lineRule="auto"/>
        <w:jc w:val="both"/>
      </w:pPr>
      <w:r>
        <w:t>Riflettere in concreto sulla verità e l’universalità che esso rivendica;</w:t>
      </w:r>
    </w:p>
    <w:p w14:paraId="698F4602" w14:textId="77777777" w:rsidR="00F0539B" w:rsidRDefault="00F0539B" w:rsidP="00F0539B">
      <w:pPr>
        <w:pStyle w:val="Paragrafoelenco"/>
        <w:numPr>
          <w:ilvl w:val="0"/>
          <w:numId w:val="5"/>
        </w:numPr>
        <w:spacing w:after="0" w:line="240" w:lineRule="auto"/>
        <w:jc w:val="both"/>
      </w:pPr>
      <w:r>
        <w:t>Cercare il senso e il valore e la funzione delle religioni nella totalità della storia della salvezza;</w:t>
      </w:r>
    </w:p>
    <w:p w14:paraId="387D9790" w14:textId="77777777" w:rsidR="00F0539B" w:rsidRDefault="00F0539B" w:rsidP="00F0539B">
      <w:pPr>
        <w:pStyle w:val="Paragrafoelenco"/>
        <w:numPr>
          <w:ilvl w:val="0"/>
          <w:numId w:val="5"/>
        </w:numPr>
        <w:spacing w:after="0" w:line="240" w:lineRule="auto"/>
        <w:jc w:val="both"/>
      </w:pPr>
      <w:r>
        <w:t>Studiare ed esaminare le religioni concrete con i loro contenuti ben definiti per metterli a confronto con i contenuti della fede cristiana.</w:t>
      </w:r>
    </w:p>
    <w:p w14:paraId="452C4B2D" w14:textId="77777777" w:rsidR="00F0539B" w:rsidRDefault="00F0539B" w:rsidP="00F0539B">
      <w:pPr>
        <w:spacing w:after="0" w:line="240" w:lineRule="auto"/>
        <w:jc w:val="both"/>
        <w:rPr>
          <w:u w:val="single"/>
        </w:rPr>
      </w:pPr>
    </w:p>
    <w:p w14:paraId="4F4CCB59" w14:textId="77777777" w:rsidR="00F0539B" w:rsidRDefault="00F0539B" w:rsidP="00F0539B">
      <w:pPr>
        <w:spacing w:after="0" w:line="240" w:lineRule="auto"/>
        <w:jc w:val="both"/>
        <w:rPr>
          <w:b/>
          <w:bCs/>
        </w:rPr>
      </w:pPr>
      <w:r>
        <w:rPr>
          <w:b/>
          <w:bCs/>
        </w:rPr>
        <w:t xml:space="preserve">CONSEGUENZE PER UNA TEOLOGIA CRISTIANA DELLE RELIGIONI </w:t>
      </w:r>
    </w:p>
    <w:p w14:paraId="5021F28B" w14:textId="77777777" w:rsidR="00F0539B" w:rsidRPr="002E06F9" w:rsidRDefault="00F0539B" w:rsidP="00F0539B">
      <w:pPr>
        <w:spacing w:after="0" w:line="240" w:lineRule="auto"/>
        <w:jc w:val="both"/>
      </w:pPr>
      <w:r>
        <w:rPr>
          <w:b/>
          <w:bCs/>
        </w:rPr>
        <w:t xml:space="preserve">1. Valore salvifico delle religioni </w:t>
      </w:r>
      <w:r>
        <w:t>(CR 81-87)</w:t>
      </w:r>
    </w:p>
    <w:p w14:paraId="416296D6" w14:textId="77777777" w:rsidR="00F0539B" w:rsidRPr="008F11FD" w:rsidRDefault="00F0539B" w:rsidP="00F0539B">
      <w:pPr>
        <w:pStyle w:val="Paragrafoelenco"/>
        <w:numPr>
          <w:ilvl w:val="0"/>
          <w:numId w:val="6"/>
        </w:numPr>
        <w:spacing w:after="0" w:line="240" w:lineRule="auto"/>
        <w:jc w:val="both"/>
        <w:rPr>
          <w:b/>
          <w:bCs/>
        </w:rPr>
      </w:pPr>
      <w:r>
        <w:t>Oggi non è in discussione la possibilità di salvezza fuori della Chiesa di quelli che vivono secondo coscienza. Ma questa salvezza non si produce indipendentemente da Cristo, dal suo Spirito e dalla sua Chiesa.</w:t>
      </w:r>
    </w:p>
    <w:p w14:paraId="7E416F7F" w14:textId="77777777" w:rsidR="00F0539B" w:rsidRPr="002E06F9" w:rsidRDefault="00F0539B" w:rsidP="00F0539B">
      <w:pPr>
        <w:pStyle w:val="Paragrafoelenco"/>
        <w:numPr>
          <w:ilvl w:val="0"/>
          <w:numId w:val="6"/>
        </w:numPr>
        <w:spacing w:after="0" w:line="240" w:lineRule="auto"/>
        <w:jc w:val="both"/>
        <w:rPr>
          <w:b/>
          <w:bCs/>
        </w:rPr>
      </w:pPr>
      <w:r>
        <w:t>Nelle diverse religioni si trovano raggi della verità (che è Cristo) che illumina ogni uomo e semi del Verbo (che è Cristo).</w:t>
      </w:r>
    </w:p>
    <w:p w14:paraId="2F5F6096" w14:textId="77777777" w:rsidR="00F0539B" w:rsidRPr="002F0D08" w:rsidRDefault="00F0539B" w:rsidP="00F0539B">
      <w:pPr>
        <w:pStyle w:val="Paragrafoelenco"/>
        <w:numPr>
          <w:ilvl w:val="0"/>
          <w:numId w:val="6"/>
        </w:numPr>
        <w:spacing w:after="0" w:line="240" w:lineRule="auto"/>
        <w:jc w:val="both"/>
        <w:rPr>
          <w:b/>
          <w:bCs/>
        </w:rPr>
      </w:pPr>
      <w:r>
        <w:t xml:space="preserve">Ma le religioni in sé come tali hanno valore in ordine alla salvezza? Cfr. RM: Se nelle religioni agisce lo Spirito e perciò non si può negare una certa azione salvifica nei riguardi dell’individuo, tuttavia dobbiamo riconoscere che la presenza universale dello Spirito non si può equiparare alla sua presenza peculiare nella Chiesa di Cristo. Perciò non si può dire che “tutto” nelle religioni sia salvifico: non bisogna tralasciare la presenza dello spirito del male, l’eredità del peccato, l’imperfetta o errata risposta umana all’azione di Dio e la mancata piena partecipazione ai doni salvifici che si trovano solo nella Chiesa. Le religioni possono esercitare la funzione di </w:t>
      </w:r>
      <w:r w:rsidRPr="002F0D08">
        <w:rPr>
          <w:i/>
          <w:iCs/>
        </w:rPr>
        <w:t>praeparatio evangelica</w:t>
      </w:r>
      <w:r>
        <w:rPr>
          <w:i/>
          <w:iCs/>
        </w:rPr>
        <w:t xml:space="preserve"> </w:t>
      </w:r>
      <w:r>
        <w:t xml:space="preserve">(ad esempio nella ricerca del bene) ad accogliere l’evento salvifico, ma la loro funzione non si può paragonare a quella dell’Antico Testamento che preparò l’evento di Cristo. Né come mezzo che aiuta alla salvezza dei propri seguaci si possono equiparare alla funzione che la Chiesa realizza per la salvezza dei cristiani e dei non cristiani. </w:t>
      </w:r>
    </w:p>
    <w:p w14:paraId="7909214C" w14:textId="77777777" w:rsidR="00F0539B" w:rsidRDefault="00F0539B" w:rsidP="00F0539B">
      <w:pPr>
        <w:spacing w:after="0" w:line="240" w:lineRule="auto"/>
        <w:jc w:val="both"/>
      </w:pPr>
      <w:r>
        <w:rPr>
          <w:b/>
          <w:bCs/>
        </w:rPr>
        <w:t>2. La questione della rivelazione</w:t>
      </w:r>
      <w:r>
        <w:t xml:space="preserve"> (CR 88-92)</w:t>
      </w:r>
    </w:p>
    <w:p w14:paraId="6E4F5366" w14:textId="77777777" w:rsidR="00F0539B" w:rsidRDefault="00F0539B" w:rsidP="00F0539B">
      <w:pPr>
        <w:spacing w:after="0" w:line="240" w:lineRule="auto"/>
        <w:jc w:val="both"/>
      </w:pPr>
      <w:r>
        <w:t xml:space="preserve">Alcune religioni si presentano come depositarie di una rivelazione divina e in alcune questa è depositata in scritti ritenuti sacri. C’è vera rivelazione quando questa è autocomunicazione e dono che Dio fa di se stesso. Per noi questo è avvenuto pienamente in Cristo. Dio si è fatto conoscere e si fa conoscere in vari modi agli uomini (esempio: creazione, giudizi della coscienza). Pur trovando nelle religioni raggi di verità non abbiamo la garanzia che queste luci siano rettamente accolte e interpretate in chi le riceve; solo in Gesù abbiamo la garanzia di piena accoglienza della volontà del Padre. </w:t>
      </w:r>
    </w:p>
    <w:p w14:paraId="743F5461" w14:textId="77777777" w:rsidR="00F0539B" w:rsidRDefault="00F0539B" w:rsidP="00F0539B">
      <w:pPr>
        <w:spacing w:after="0" w:line="240" w:lineRule="auto"/>
        <w:jc w:val="both"/>
      </w:pPr>
      <w:r>
        <w:t xml:space="preserve">Anche se non si può escludere qualche illuminazione divina nella composizione dei libri sacri delle varie religioni è più adeguato riservare la qualifica di libri ispirati dallo Spirito, come Parola di Dio, solo ai libri canonici della Scrittura. Come hanno fatto i Padri, pur riconoscendo ai libri filosofici il loro valore di preparazione evangelica. </w:t>
      </w:r>
    </w:p>
    <w:p w14:paraId="3C9515D5" w14:textId="77777777" w:rsidR="00F0539B" w:rsidRPr="00310BF1" w:rsidRDefault="00F0539B" w:rsidP="00F0539B">
      <w:pPr>
        <w:spacing w:after="0" w:line="240" w:lineRule="auto"/>
        <w:jc w:val="both"/>
      </w:pPr>
      <w:r>
        <w:rPr>
          <w:b/>
          <w:bCs/>
        </w:rPr>
        <w:t xml:space="preserve">3. Per un approccio alle religioni non cristiane: la via della Nostra Aetate </w:t>
      </w:r>
      <w:r>
        <w:t>(CR 100)</w:t>
      </w:r>
    </w:p>
    <w:p w14:paraId="3E736B50" w14:textId="77777777" w:rsidR="00F0539B" w:rsidRDefault="00F0539B" w:rsidP="00F0539B">
      <w:pPr>
        <w:spacing w:after="0" w:line="240" w:lineRule="auto"/>
        <w:jc w:val="both"/>
      </w:pPr>
      <w:r>
        <w:t xml:space="preserve">L’esposizione teologica degli elementi comuni e delle differenze: </w:t>
      </w:r>
    </w:p>
    <w:p w14:paraId="6CE8BB38" w14:textId="77777777" w:rsidR="00F0539B" w:rsidRDefault="00F0539B" w:rsidP="00F0539B">
      <w:pPr>
        <w:pStyle w:val="Paragrafoelenco"/>
        <w:numPr>
          <w:ilvl w:val="0"/>
          <w:numId w:val="7"/>
        </w:numPr>
        <w:spacing w:after="0" w:line="240" w:lineRule="auto"/>
        <w:jc w:val="both"/>
      </w:pPr>
      <w:r>
        <w:t xml:space="preserve">tra la teologia della creazione e l’unità del genere umano di cui non si rigetta nulla di quanto è vero e santo nelle religioni; </w:t>
      </w:r>
    </w:p>
    <w:p w14:paraId="37634769" w14:textId="77777777" w:rsidR="00F0539B" w:rsidRDefault="00F0539B" w:rsidP="00F0539B">
      <w:pPr>
        <w:pStyle w:val="Paragrafoelenco"/>
        <w:numPr>
          <w:ilvl w:val="0"/>
          <w:numId w:val="7"/>
        </w:numPr>
        <w:spacing w:after="0"/>
      </w:pPr>
      <w:r>
        <w:t xml:space="preserve">e la rivelazione in Cristo che è la verità in cui ogni uomo trova la pienezza della sua vocazione religiosa </w:t>
      </w:r>
    </w:p>
    <w:p w14:paraId="76B7488E" w14:textId="77777777" w:rsidR="00F0539B" w:rsidRDefault="00F0539B" w:rsidP="00F0539B">
      <w:pPr>
        <w:spacing w:after="0"/>
        <w:jc w:val="both"/>
      </w:pPr>
      <w:r>
        <w:t>NA 1: &lt;&lt;</w:t>
      </w:r>
      <w:r w:rsidRPr="00EA557F">
        <w:rPr>
          <w:i/>
          <w:iCs/>
        </w:rPr>
        <w:t xml:space="preserve"> Nel suo dovere di promuovere l'unità e la carità tra gli uomini, ed anzi tra i popoli, essa in primo luogo esamina qui tutto ciò che gli uomini hanno in comune e che li spinge a vivere insieme il loro comune destino</w:t>
      </w:r>
      <w:r>
        <w:t>&gt;&gt;</w:t>
      </w:r>
      <w:r w:rsidRPr="008673D3">
        <w:t>.</w:t>
      </w:r>
      <w:r w:rsidRPr="00B77EF8">
        <w:t xml:space="preserve"> </w:t>
      </w:r>
    </w:p>
    <w:p w14:paraId="70675F60" w14:textId="77777777" w:rsidR="00F0539B" w:rsidRDefault="00F0539B" w:rsidP="00F0539B">
      <w:pPr>
        <w:spacing w:after="0"/>
        <w:jc w:val="both"/>
      </w:pPr>
      <w:r>
        <w:t>NA 2 &lt;&lt;</w:t>
      </w:r>
      <w:r w:rsidRPr="00E802A1">
        <w:rPr>
          <w:i/>
          <w:iCs/>
        </w:rPr>
        <w:t>La Chiesa cattolica nulla rigetta di quanto è vero e santo in queste religioni. Essa considera con sincero rispetto quei modi di agire e di vivere, quei precetti e quelle dottrine che, quantunque in molti punti differiscano da quanto essa stessa crede e propone, tuttavia non raramente riflettono un raggio di quella verità che illumina tutti gli uomini</w:t>
      </w:r>
      <w:r>
        <w:t>&gt;&gt;</w:t>
      </w:r>
      <w:r w:rsidRPr="00DA52D6">
        <w:t>.</w:t>
      </w:r>
    </w:p>
    <w:p w14:paraId="48C2E660" w14:textId="77777777" w:rsidR="00F0539B" w:rsidRDefault="00F0539B" w:rsidP="00F0539B">
      <w:r>
        <w:t>Cfr. NA 2 &lt;&lt;</w:t>
      </w:r>
      <w:r w:rsidRPr="00E802A1">
        <w:rPr>
          <w:i/>
          <w:iCs/>
        </w:rPr>
        <w:t>Tuttavia essa annuncia, ed è tenuta ad annunciare, il Cristo che è «via, verità e vita» (Gv 14,6), in cui gli uomini devono trovare la pienezza della vita religiosa e in cui Dio ha riconciliato con se stesso tutte le cose (4</w:t>
      </w:r>
      <w:r w:rsidRPr="00DA52D6">
        <w:t>)</w:t>
      </w:r>
      <w:r>
        <w:t>&gt;&gt;</w:t>
      </w:r>
      <w:r w:rsidRPr="00DA52D6">
        <w:t>.</w:t>
      </w:r>
    </w:p>
    <w:p w14:paraId="1E0D0BFF" w14:textId="77777777" w:rsidR="00F0539B" w:rsidRPr="00184188" w:rsidRDefault="00F0539B" w:rsidP="00F0539B">
      <w:pPr>
        <w:rPr>
          <w:b/>
          <w:bCs/>
          <w:u w:val="single"/>
        </w:rPr>
      </w:pPr>
      <w:r w:rsidRPr="00184188">
        <w:rPr>
          <w:b/>
          <w:bCs/>
          <w:u w:val="single"/>
        </w:rPr>
        <w:lastRenderedPageBreak/>
        <w:t>Bibliografia</w:t>
      </w:r>
    </w:p>
    <w:p w14:paraId="7591F446" w14:textId="77777777" w:rsidR="00F0539B" w:rsidRPr="00B77EF8" w:rsidRDefault="00F0539B" w:rsidP="00F0539B">
      <w:pPr>
        <w:spacing w:after="0"/>
      </w:pPr>
      <w:r>
        <w:t xml:space="preserve">CONCILIO ECUMENICO VATICANO II, Dichiarazione </w:t>
      </w:r>
      <w:r w:rsidRPr="00C357FF">
        <w:rPr>
          <w:i/>
          <w:iCs/>
        </w:rPr>
        <w:t>Nostra Aetate</w:t>
      </w:r>
      <w:r>
        <w:rPr>
          <w:i/>
          <w:iCs/>
        </w:rPr>
        <w:t xml:space="preserve">, </w:t>
      </w:r>
      <w:r>
        <w:t>28 ottobre 1965.</w:t>
      </w:r>
    </w:p>
    <w:p w14:paraId="7B551BEF" w14:textId="77777777" w:rsidR="00F0539B" w:rsidRPr="000676DA" w:rsidRDefault="00F0539B" w:rsidP="00F0539B">
      <w:pPr>
        <w:spacing w:after="0"/>
      </w:pPr>
      <w:r>
        <w:t xml:space="preserve">COMMISSIONE TEOLOGICA INTERNAZIONALE, </w:t>
      </w:r>
      <w:r>
        <w:rPr>
          <w:i/>
          <w:iCs/>
        </w:rPr>
        <w:t xml:space="preserve">Il Cristianesimo e le religioni, </w:t>
      </w:r>
      <w:r>
        <w:t>1997.</w:t>
      </w:r>
    </w:p>
    <w:p w14:paraId="0C9C1369" w14:textId="033AFC86" w:rsidR="00C36293" w:rsidRPr="00C36293" w:rsidRDefault="00C36293" w:rsidP="00C36293">
      <w:pPr>
        <w:spacing w:after="0"/>
        <w:rPr>
          <w:b/>
          <w:bCs/>
          <w:i/>
          <w:iCs/>
        </w:rPr>
      </w:pPr>
      <w:bookmarkStart w:id="0" w:name="_Hlk212801435"/>
      <w:r>
        <w:rPr>
          <w:b/>
          <w:bCs/>
          <w:i/>
          <w:iCs/>
        </w:rPr>
        <w:t>Manuali</w:t>
      </w:r>
    </w:p>
    <w:p w14:paraId="6336C149" w14:textId="28807789" w:rsidR="00C36293" w:rsidRPr="00F46527" w:rsidRDefault="00C36293" w:rsidP="00C36293">
      <w:pPr>
        <w:spacing w:after="0"/>
      </w:pPr>
      <w:r>
        <w:t xml:space="preserve">GUERRA MANUEL, </w:t>
      </w:r>
      <w:r>
        <w:rPr>
          <w:i/>
          <w:iCs/>
        </w:rPr>
        <w:t>Storia delle religioni,</w:t>
      </w:r>
      <w:r>
        <w:t xml:space="preserve"> Editrice La Scuola, 1993</w:t>
      </w:r>
      <w:r>
        <w:rPr>
          <w:vertAlign w:val="superscript"/>
        </w:rPr>
        <w:t>6</w:t>
      </w:r>
      <w:r>
        <w:t>; parte seconda, cap.</w:t>
      </w:r>
      <w:r>
        <w:t xml:space="preserve"> 13.</w:t>
      </w:r>
    </w:p>
    <w:bookmarkEnd w:id="0"/>
    <w:p w14:paraId="0B1D9F6E" w14:textId="011B85AD" w:rsidR="00F0539B" w:rsidRPr="00C36293" w:rsidRDefault="00C36293" w:rsidP="00F0539B">
      <w:pPr>
        <w:spacing w:after="0"/>
        <w:rPr>
          <w:b/>
          <w:bCs/>
          <w:i/>
          <w:iCs/>
        </w:rPr>
      </w:pPr>
      <w:r>
        <w:rPr>
          <w:b/>
          <w:bCs/>
          <w:i/>
          <w:iCs/>
        </w:rPr>
        <w:t>Monografie</w:t>
      </w:r>
    </w:p>
    <w:p w14:paraId="0A79FF54" w14:textId="77777777" w:rsidR="00F0539B" w:rsidRPr="002A2FF4" w:rsidRDefault="00F0539B" w:rsidP="00F0539B">
      <w:pPr>
        <w:spacing w:after="0"/>
      </w:pPr>
      <w:r>
        <w:t>DAL CORSO MARCO – BRUNETTO SALVARANI, “</w:t>
      </w:r>
      <w:r>
        <w:rPr>
          <w:i/>
          <w:iCs/>
        </w:rPr>
        <w:t xml:space="preserve">Molte volte e in diversi modi”. Manuale di dialogo interreligioso. </w:t>
      </w:r>
      <w:r>
        <w:t xml:space="preserve">Cittadella, 2016. </w:t>
      </w:r>
    </w:p>
    <w:p w14:paraId="0544EE1F" w14:textId="77777777" w:rsidR="00F0539B" w:rsidRDefault="00F0539B" w:rsidP="00F0539B">
      <w:pPr>
        <w:spacing w:after="0"/>
      </w:pPr>
      <w:r>
        <w:t xml:space="preserve">DI TORA MARCELLO, </w:t>
      </w:r>
      <w:r>
        <w:rPr>
          <w:i/>
          <w:iCs/>
        </w:rPr>
        <w:t xml:space="preserve">Teologia delle religioni, </w:t>
      </w:r>
      <w:r>
        <w:t>Flaccovio, 2014.</w:t>
      </w:r>
    </w:p>
    <w:p w14:paraId="406FBC01" w14:textId="77777777" w:rsidR="00F0539B" w:rsidRPr="00E145EE" w:rsidRDefault="00F0539B" w:rsidP="00F0539B">
      <w:pPr>
        <w:spacing w:after="0"/>
      </w:pPr>
      <w:r>
        <w:t xml:space="preserve">DI TORA MARCELLO, </w:t>
      </w:r>
      <w:r>
        <w:rPr>
          <w:i/>
          <w:iCs/>
        </w:rPr>
        <w:t xml:space="preserve">Cristianesimo e religioni, </w:t>
      </w:r>
      <w:r>
        <w:t>EDI, 2008.</w:t>
      </w:r>
    </w:p>
    <w:p w14:paraId="198C5AAB" w14:textId="77777777" w:rsidR="00F0539B" w:rsidRPr="00CC5583" w:rsidRDefault="00F0539B" w:rsidP="00F0539B">
      <w:pPr>
        <w:spacing w:after="0"/>
      </w:pPr>
      <w:r>
        <w:t xml:space="preserve">DUPUIS JACQUES, </w:t>
      </w:r>
      <w:r>
        <w:rPr>
          <w:i/>
          <w:iCs/>
        </w:rPr>
        <w:t xml:space="preserve">Verso una teologia cristiana del pluralismo religioso, </w:t>
      </w:r>
      <w:r>
        <w:t>Queriniana, 2015</w:t>
      </w:r>
      <w:r>
        <w:rPr>
          <w:vertAlign w:val="superscript"/>
        </w:rPr>
        <w:t>5</w:t>
      </w:r>
      <w:r>
        <w:t>.</w:t>
      </w:r>
    </w:p>
    <w:p w14:paraId="387EFF9A" w14:textId="77777777" w:rsidR="00F0539B" w:rsidRPr="002A2FF4" w:rsidRDefault="00F0539B" w:rsidP="00F0539B">
      <w:pPr>
        <w:spacing w:after="0"/>
      </w:pPr>
      <w:r>
        <w:t xml:space="preserve">NARO MASSIMO ed., </w:t>
      </w:r>
      <w:r>
        <w:rPr>
          <w:i/>
          <w:iCs/>
        </w:rPr>
        <w:t xml:space="preserve">La teologia delle religioni oltre l’istanza apologetica, </w:t>
      </w:r>
      <w:r>
        <w:t>Città Nuova, 2013.</w:t>
      </w:r>
    </w:p>
    <w:p w14:paraId="7B209A99" w14:textId="77777777" w:rsidR="00F0539B" w:rsidRDefault="00F0539B" w:rsidP="00F0539B">
      <w:pPr>
        <w:spacing w:after="0"/>
      </w:pPr>
      <w:r>
        <w:t xml:space="preserve">O’COLLINS GERALD, </w:t>
      </w:r>
      <w:r>
        <w:rPr>
          <w:i/>
          <w:iCs/>
        </w:rPr>
        <w:t xml:space="preserve">Una cristologia delle religioni, </w:t>
      </w:r>
      <w:r>
        <w:t>Queriniana, 2018.</w:t>
      </w:r>
    </w:p>
    <w:p w14:paraId="2CD7CFC0" w14:textId="77777777" w:rsidR="00F0539B" w:rsidRDefault="00F0539B" w:rsidP="00F0539B">
      <w:pPr>
        <w:spacing w:after="0"/>
      </w:pPr>
      <w:r>
        <w:t xml:space="preserve">TRIANNI PAOLO, </w:t>
      </w:r>
      <w:r>
        <w:rPr>
          <w:i/>
          <w:iCs/>
        </w:rPr>
        <w:t xml:space="preserve">Nostra aetate. Alle radici del dialogo interreligioso, </w:t>
      </w:r>
      <w:r>
        <w:t>Lateran Press, 2016</w:t>
      </w:r>
    </w:p>
    <w:p w14:paraId="6E49CF71" w14:textId="77777777" w:rsidR="00F0539B" w:rsidRDefault="00F0539B" w:rsidP="00F0539B"/>
    <w:p w14:paraId="2EB1E393" w14:textId="749668C8" w:rsidR="00F96536" w:rsidRDefault="00F96536" w:rsidP="00F0539B">
      <w:pPr>
        <w:pStyle w:val="Titolo1"/>
      </w:pPr>
    </w:p>
    <w:sectPr w:rsidR="00F9653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678C1"/>
    <w:multiLevelType w:val="hybridMultilevel"/>
    <w:tmpl w:val="BD52647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20E2F0B"/>
    <w:multiLevelType w:val="hybridMultilevel"/>
    <w:tmpl w:val="E6D89BD2"/>
    <w:lvl w:ilvl="0" w:tplc="6C2084AA">
      <w:start w:val="1"/>
      <w:numFmt w:val="decimal"/>
      <w:lvlText w:val="%1."/>
      <w:lvlJc w:val="left"/>
      <w:pPr>
        <w:ind w:left="720" w:hanging="360"/>
      </w:pPr>
      <w:rPr>
        <w:i w:val="0"/>
        <w:i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6106509"/>
    <w:multiLevelType w:val="hybridMultilevel"/>
    <w:tmpl w:val="D06EB38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99830E3"/>
    <w:multiLevelType w:val="hybridMultilevel"/>
    <w:tmpl w:val="79AC4A5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29D46F7"/>
    <w:multiLevelType w:val="hybridMultilevel"/>
    <w:tmpl w:val="87DA5BE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7901651F"/>
    <w:multiLevelType w:val="hybridMultilevel"/>
    <w:tmpl w:val="C6C4D6B8"/>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7DC5379E"/>
    <w:multiLevelType w:val="hybridMultilevel"/>
    <w:tmpl w:val="F3D495E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47842143">
    <w:abstractNumId w:val="2"/>
  </w:num>
  <w:num w:numId="2" w16cid:durableId="1175653968">
    <w:abstractNumId w:val="1"/>
  </w:num>
  <w:num w:numId="3" w16cid:durableId="1194686253">
    <w:abstractNumId w:val="5"/>
  </w:num>
  <w:num w:numId="4" w16cid:durableId="1474761832">
    <w:abstractNumId w:val="4"/>
  </w:num>
  <w:num w:numId="5" w16cid:durableId="400954520">
    <w:abstractNumId w:val="6"/>
  </w:num>
  <w:num w:numId="6" w16cid:durableId="786045850">
    <w:abstractNumId w:val="0"/>
  </w:num>
  <w:num w:numId="7" w16cid:durableId="3302567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39B"/>
    <w:rsid w:val="001F75EA"/>
    <w:rsid w:val="008C318B"/>
    <w:rsid w:val="00B54676"/>
    <w:rsid w:val="00C36293"/>
    <w:rsid w:val="00F0539B"/>
    <w:rsid w:val="00F965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4FC57"/>
  <w15:chartTrackingRefBased/>
  <w15:docId w15:val="{1CCB9161-CC36-47D7-AA1A-0FF03251C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0539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F0539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rsid w:val="00F0539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0539B"/>
    <w:rPr>
      <w:rFonts w:asciiTheme="majorHAnsi" w:eastAsiaTheme="majorEastAsia" w:hAnsiTheme="majorHAnsi" w:cstheme="majorBidi"/>
      <w:color w:val="2F5496" w:themeColor="accent1" w:themeShade="BF"/>
      <w:sz w:val="32"/>
      <w:szCs w:val="32"/>
    </w:rPr>
  </w:style>
  <w:style w:type="character" w:customStyle="1" w:styleId="Titolo2Carattere">
    <w:name w:val="Titolo 2 Carattere"/>
    <w:basedOn w:val="Carpredefinitoparagrafo"/>
    <w:link w:val="Titolo2"/>
    <w:uiPriority w:val="9"/>
    <w:rsid w:val="00F0539B"/>
    <w:rPr>
      <w:rFonts w:asciiTheme="majorHAnsi" w:eastAsiaTheme="majorEastAsia" w:hAnsiTheme="majorHAnsi" w:cstheme="majorBidi"/>
      <w:color w:val="2F5496" w:themeColor="accent1" w:themeShade="BF"/>
      <w:sz w:val="26"/>
      <w:szCs w:val="26"/>
    </w:rPr>
  </w:style>
  <w:style w:type="character" w:customStyle="1" w:styleId="Titolo3Carattere">
    <w:name w:val="Titolo 3 Carattere"/>
    <w:basedOn w:val="Carpredefinitoparagrafo"/>
    <w:link w:val="Titolo3"/>
    <w:uiPriority w:val="9"/>
    <w:rsid w:val="00F0539B"/>
    <w:rPr>
      <w:rFonts w:asciiTheme="majorHAnsi" w:eastAsiaTheme="majorEastAsia" w:hAnsiTheme="majorHAnsi" w:cstheme="majorBidi"/>
      <w:color w:val="1F3763" w:themeColor="accent1" w:themeShade="7F"/>
      <w:sz w:val="24"/>
      <w:szCs w:val="24"/>
    </w:rPr>
  </w:style>
  <w:style w:type="paragraph" w:styleId="Paragrafoelenco">
    <w:name w:val="List Paragraph"/>
    <w:basedOn w:val="Normale"/>
    <w:uiPriority w:val="34"/>
    <w:qFormat/>
    <w:rsid w:val="00F053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1990</Words>
  <Characters>11345</Characters>
  <Application>Microsoft Office Word</Application>
  <DocSecurity>0</DocSecurity>
  <Lines>94</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Amministratore</dc:creator>
  <cp:keywords/>
  <dc:description/>
  <cp:lastModifiedBy>Amministratore</cp:lastModifiedBy>
  <cp:revision>4</cp:revision>
  <dcterms:created xsi:type="dcterms:W3CDTF">2025-10-31T09:47:00Z</dcterms:created>
  <dcterms:modified xsi:type="dcterms:W3CDTF">2025-11-05T09:41:00Z</dcterms:modified>
</cp:coreProperties>
</file>