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0742DD" w14:textId="77777777" w:rsidR="008673D3" w:rsidRDefault="008673D3" w:rsidP="008673D3">
      <w:pPr>
        <w:pStyle w:val="Titolo1"/>
        <w:rPr>
          <w:rFonts w:eastAsiaTheme="minorEastAsia"/>
          <w:noProof/>
          <w:kern w:val="0"/>
          <w:lang w:eastAsia="it-IT"/>
          <w14:ligatures w14:val="none"/>
        </w:rPr>
      </w:pPr>
      <w:r w:rsidRPr="00813B2B">
        <w:rPr>
          <w:noProof/>
        </w:rPr>
        <w:t xml:space="preserve">INTRODUZIONE – PERCHÉ STUDIARE LE RELIGIONI NON CRISTIANE </w:t>
      </w:r>
      <w:r>
        <w:rPr>
          <w:rFonts w:eastAsiaTheme="minorEastAsia"/>
          <w:noProof/>
          <w:kern w:val="0"/>
          <w:lang w:eastAsia="it-IT"/>
          <w14:ligatures w14:val="none"/>
        </w:rPr>
        <w:t xml:space="preserve"> </w:t>
      </w:r>
    </w:p>
    <w:p w14:paraId="017DAE0E" w14:textId="77777777" w:rsidR="005B0746" w:rsidRDefault="005B0746" w:rsidP="008673D3">
      <w:pPr>
        <w:pStyle w:val="Titolo2"/>
        <w:rPr>
          <w:noProof/>
        </w:rPr>
      </w:pPr>
    </w:p>
    <w:p w14:paraId="759CCE61" w14:textId="08E62DF4" w:rsidR="008673D3" w:rsidRDefault="008673D3" w:rsidP="008673D3">
      <w:pPr>
        <w:pStyle w:val="Titolo2"/>
        <w:rPr>
          <w:noProof/>
        </w:rPr>
      </w:pPr>
      <w:r w:rsidRPr="00813B2B">
        <w:rPr>
          <w:noProof/>
        </w:rPr>
        <w:t xml:space="preserve">1. </w:t>
      </w:r>
      <w:r>
        <w:rPr>
          <w:noProof/>
        </w:rPr>
        <w:t>Natura del cristianesimo e del suo rapporto con le religioni non cristiane</w:t>
      </w:r>
    </w:p>
    <w:p w14:paraId="5411C6A9" w14:textId="1113996B" w:rsidR="008673D3" w:rsidRDefault="008673D3" w:rsidP="008673D3">
      <w:pPr>
        <w:jc w:val="both"/>
      </w:pPr>
      <w:r>
        <w:t>In un mondo in cui si è sempre più interconnessi e la società diventa sempre più multiculturale e multireligiosa, il corso è finalizzato alla necessaria conoscenza delle grandi tradizioni religiose di Oriente e Occidente, nel loro sviluppo interno e nella loro evoluzione storica, nelle loro relazioni reciproche e in particolare nel rapporto tra queste e il cristianesimo, al fine di una convivenza pacifica dei popoli nel rispetto vicendevole fra individui e comunità religiose in un contesto pluralista</w:t>
      </w:r>
      <w:r w:rsidRPr="00E5528C">
        <w:t xml:space="preserve"> </w:t>
      </w:r>
      <w:r>
        <w:t>e dialogante.</w:t>
      </w:r>
    </w:p>
    <w:p w14:paraId="37F14AD4" w14:textId="2300509E" w:rsidR="008673D3" w:rsidRPr="00286B3A" w:rsidRDefault="008673D3" w:rsidP="008673D3">
      <w:pPr>
        <w:jc w:val="both"/>
      </w:pPr>
      <w:r>
        <w:t>Cfr. NA 1 &lt;&lt;</w:t>
      </w:r>
      <w:r w:rsidRPr="008673D3">
        <w:rPr>
          <w:i/>
          <w:iCs/>
        </w:rPr>
        <w:t>Nel nostro tempo in cui il genere umano si unifica di giorno in giorno più strettamente e cresce l'interdipendenza tra i vari popoli, la Chiesa esamina con maggiore attenzione la natura delle sue relazioni con le religioni non-cristiane. Nel suo dovere di promuovere l'unità e la carità tra gli uomini, ed anzi tra i popoli, essa in primo luogo esamina qui tutto ciò che gli uomini hanno in comune e che li spinge a vivere insieme il loro comune destino</w:t>
      </w:r>
      <w:r>
        <w:t>&gt;&gt;</w:t>
      </w:r>
      <w:r w:rsidRPr="008673D3">
        <w:t>.</w:t>
      </w:r>
    </w:p>
    <w:p w14:paraId="556C3C96" w14:textId="77777777" w:rsidR="00EF79D8" w:rsidRDefault="00DC7F89" w:rsidP="00DC7F89">
      <w:pPr>
        <w:jc w:val="both"/>
        <w:rPr>
          <w:i/>
          <w:iCs/>
        </w:rPr>
      </w:pPr>
      <w:r>
        <w:t xml:space="preserve">=&gt; </w:t>
      </w:r>
      <w:r w:rsidRPr="00DC7F89">
        <w:rPr>
          <w:b/>
          <w:bCs/>
        </w:rPr>
        <w:t xml:space="preserve">Autocomprensione della natura della Chiesa e della </w:t>
      </w:r>
      <w:r w:rsidRPr="00DC7F89">
        <w:rPr>
          <w:b/>
          <w:bCs/>
          <w:i/>
          <w:iCs/>
        </w:rPr>
        <w:t>missio ad gentes:</w:t>
      </w:r>
      <w:r>
        <w:rPr>
          <w:i/>
          <w:iCs/>
        </w:rPr>
        <w:t xml:space="preserve"> </w:t>
      </w:r>
    </w:p>
    <w:p w14:paraId="60F06AEA" w14:textId="6F1D7176" w:rsidR="008673D3" w:rsidRPr="00DC7F89" w:rsidRDefault="00EF79D8" w:rsidP="00DC7F89">
      <w:pPr>
        <w:jc w:val="both"/>
        <w:rPr>
          <w:i/>
          <w:iCs/>
        </w:rPr>
      </w:pPr>
      <w:r>
        <w:rPr>
          <w:i/>
          <w:iCs/>
        </w:rPr>
        <w:t xml:space="preserve">Cfr. </w:t>
      </w:r>
      <w:r w:rsidR="00DC7F89" w:rsidRPr="00EF79D8">
        <w:t>LG 1</w:t>
      </w:r>
      <w:r w:rsidR="00DC7F89">
        <w:rPr>
          <w:i/>
          <w:iCs/>
        </w:rPr>
        <w:t xml:space="preserve"> &lt;&lt;</w:t>
      </w:r>
      <w:r w:rsidR="00DC7F89" w:rsidRPr="00DC7F89">
        <w:t xml:space="preserve"> </w:t>
      </w:r>
      <w:r w:rsidR="00DC7F89" w:rsidRPr="00DC7F89">
        <w:rPr>
          <w:i/>
          <w:iCs/>
        </w:rPr>
        <w:t>1. Cristo è la luce delle genti: questo santo Concilio, adunato nello Spirito Santo, desidera dunque ardentemente, annunciando il Vangelo ad ogni creatura (cfr. Mc 16,15), illuminare tutti gli uomini con la luce del Cristo che risplende sul volto della Chiesa. E siccome la Chiesa è, in Cristo, in qualche modo il sacramento, ossia il segno e lo strumento dell'intima unione con Dio e dell'unità di tutto il genere umano, continuando il tema dei precedenti Concili, intende con maggiore chiarezza illustrare ai suoi fedeli e al mondo intero la propria natura e la propria missione universale. Le presenti condizioni del mondo rendono più urgente questo dovere della Chiesa, affinché tutti gli uomini, oggi più strettamente congiunti dai vari vincoli sociali, tecnici e culturali, possano anche conseguire la piena unità in Cristo</w:t>
      </w:r>
      <w:r w:rsidR="00DC7F89">
        <w:rPr>
          <w:i/>
          <w:iCs/>
        </w:rPr>
        <w:t>&gt;&gt;</w:t>
      </w:r>
      <w:r w:rsidR="00DC7F89" w:rsidRPr="00DC7F89">
        <w:rPr>
          <w:i/>
          <w:iCs/>
        </w:rPr>
        <w:t>.</w:t>
      </w:r>
      <w:r w:rsidR="00DC7F89">
        <w:rPr>
          <w:i/>
          <w:iCs/>
        </w:rPr>
        <w:t xml:space="preserve"> (cfr. Decreto Ad gentes, Redemptoris Missio).</w:t>
      </w:r>
    </w:p>
    <w:p w14:paraId="41EDEF5A" w14:textId="7520E31B" w:rsidR="008673D3" w:rsidRPr="000F6CC7" w:rsidRDefault="000F6CC7" w:rsidP="000F6CC7">
      <w:pPr>
        <w:rPr>
          <w:b/>
          <w:bCs/>
          <w:noProof/>
        </w:rPr>
      </w:pPr>
      <w:r w:rsidRPr="000F6CC7">
        <w:rPr>
          <w:b/>
          <w:bCs/>
          <w:noProof/>
        </w:rPr>
        <w:t>=&gt;</w:t>
      </w:r>
      <w:r w:rsidR="008673D3" w:rsidRPr="000F6CC7">
        <w:rPr>
          <w:b/>
          <w:bCs/>
          <w:noProof/>
        </w:rPr>
        <w:t xml:space="preserve"> Il comune destino dei popoli</w:t>
      </w:r>
      <w:r w:rsidRPr="000F6CC7">
        <w:rPr>
          <w:b/>
          <w:bCs/>
          <w:noProof/>
        </w:rPr>
        <w:t>: una sola famiglia in Dio in un unico disegno di salvezza</w:t>
      </w:r>
    </w:p>
    <w:p w14:paraId="6EFA4104" w14:textId="4210F464" w:rsidR="00DC7F89" w:rsidRPr="000F6CC7" w:rsidRDefault="000F6CC7" w:rsidP="005B0746">
      <w:pPr>
        <w:spacing w:after="100" w:afterAutospacing="1"/>
        <w:jc w:val="both"/>
        <w:rPr>
          <w:i/>
          <w:iCs/>
        </w:rPr>
      </w:pPr>
      <w:r>
        <w:t>Cfr. NA 1 &lt;&lt;</w:t>
      </w:r>
      <w:r w:rsidRPr="000F6CC7">
        <w:rPr>
          <w:i/>
          <w:iCs/>
        </w:rPr>
        <w:t>I vari popoli costituiscono infatti una sola comunità. Essi hanno una sola origine, poiché Dio ha fatto abitare l'intero genere umano su tutta la faccia della terra (1) hanno anche un solo fine ultimo, Dio, la cui Provvidenza, le cui testimonianze di bontà e il disegno di salvezza si estendono a tutti (2) finché gli eletti saranno riuniti nella città santa, che la gloria di Dio illuminerà e dove le genti cammineranno nella sua luce (3)</w:t>
      </w:r>
      <w:r>
        <w:rPr>
          <w:i/>
          <w:iCs/>
        </w:rPr>
        <w:t>&gt;&gt;</w:t>
      </w:r>
      <w:r w:rsidRPr="000F6CC7">
        <w:rPr>
          <w:i/>
          <w:iCs/>
        </w:rPr>
        <w:t>.</w:t>
      </w:r>
    </w:p>
    <w:p w14:paraId="1BA664FD" w14:textId="12B7E41E" w:rsidR="008673D3" w:rsidRDefault="000F6CC7" w:rsidP="008673D3">
      <w:pPr>
        <w:pStyle w:val="Titolo2"/>
        <w:rPr>
          <w:noProof/>
        </w:rPr>
      </w:pPr>
      <w:r>
        <w:rPr>
          <w:noProof/>
        </w:rPr>
        <w:t>2</w:t>
      </w:r>
      <w:r w:rsidR="008673D3">
        <w:rPr>
          <w:noProof/>
        </w:rPr>
        <w:t xml:space="preserve">. </w:t>
      </w:r>
      <w:r w:rsidR="008673D3" w:rsidRPr="00813B2B">
        <w:rPr>
          <w:noProof/>
        </w:rPr>
        <w:t>Gli enigmi della condizione umana</w:t>
      </w:r>
      <w:r w:rsidR="00DC7F89">
        <w:rPr>
          <w:noProof/>
        </w:rPr>
        <w:t xml:space="preserve"> e</w:t>
      </w:r>
      <w:r w:rsidRPr="000F6CC7">
        <w:rPr>
          <w:i/>
          <w:iCs/>
          <w:noProof/>
        </w:rPr>
        <w:t xml:space="preserve"> </w:t>
      </w:r>
      <w:r w:rsidRPr="000F6CC7">
        <w:rPr>
          <w:noProof/>
        </w:rPr>
        <w:t>il senso religioso dei popoli</w:t>
      </w:r>
    </w:p>
    <w:p w14:paraId="58494850" w14:textId="4CB25C53" w:rsidR="000F6CC7" w:rsidRPr="000F6CC7" w:rsidRDefault="000F6CC7" w:rsidP="005B0746">
      <w:pPr>
        <w:spacing w:after="100" w:afterAutospacing="1"/>
        <w:jc w:val="both"/>
      </w:pPr>
      <w:r>
        <w:t>Cfr. NA 1 &lt;&lt;</w:t>
      </w:r>
      <w:r w:rsidRPr="000F6CC7">
        <w:rPr>
          <w:i/>
          <w:iCs/>
        </w:rPr>
        <w:t>Gli uomini attendono dalle varie religioni la risposta ai reconditi enigmi della condizione umana, che ieri come oggi turbano profondamente il cuore dell'uomo: la natura dell'uomo, il senso e il fine della nostra vita, il bene e il peccato, l'origine e lo scopo del dolore, la via per raggiungere la vera felicità, la morte, il giudizio e la sanzione dopo la morte, infine l'ultimo e ineffabile mistero che circonda la nostra esistenza, donde noi traiamo la nostra origine e verso cui tendiamo</w:t>
      </w:r>
      <w:r>
        <w:t>&gt;&gt;</w:t>
      </w:r>
      <w:r w:rsidRPr="000F6CC7">
        <w:t>.</w:t>
      </w:r>
    </w:p>
    <w:p w14:paraId="4B2033D0" w14:textId="1FCE2D9D" w:rsidR="003062B5" w:rsidRDefault="003062B5" w:rsidP="003062B5">
      <w:pPr>
        <w:pStyle w:val="Titolo2"/>
        <w:rPr>
          <w:noProof/>
        </w:rPr>
      </w:pPr>
      <w:r>
        <w:rPr>
          <w:noProof/>
        </w:rPr>
        <w:t>3. Dalla s</w:t>
      </w:r>
      <w:r w:rsidRPr="00813B2B">
        <w:rPr>
          <w:noProof/>
        </w:rPr>
        <w:t xml:space="preserve">ensibilità religiosa </w:t>
      </w:r>
      <w:r>
        <w:rPr>
          <w:noProof/>
        </w:rPr>
        <w:t>alla</w:t>
      </w:r>
      <w:r w:rsidRPr="00813B2B">
        <w:rPr>
          <w:noProof/>
        </w:rPr>
        <w:t xml:space="preserve"> religione </w:t>
      </w:r>
    </w:p>
    <w:p w14:paraId="46B72B52" w14:textId="45BFE193" w:rsidR="003062B5" w:rsidRDefault="0034386C" w:rsidP="003062B5">
      <w:pPr>
        <w:pStyle w:val="Titolo3"/>
        <w:rPr>
          <w:noProof/>
        </w:rPr>
      </w:pPr>
      <w:r>
        <w:rPr>
          <w:noProof/>
        </w:rPr>
        <w:t>1. Il pensiero “irriflesso” della religiosità naturale</w:t>
      </w:r>
    </w:p>
    <w:p w14:paraId="6D3D9F4A" w14:textId="2A3C62FC" w:rsidR="0034386C" w:rsidRPr="0034386C" w:rsidRDefault="0034386C" w:rsidP="0034386C">
      <w:pPr>
        <w:jc w:val="both"/>
      </w:pPr>
      <w:r>
        <w:t>Cfr. NA 2 &lt;&lt;</w:t>
      </w:r>
      <w:r w:rsidRPr="0034386C">
        <w:rPr>
          <w:i/>
          <w:iCs/>
        </w:rPr>
        <w:t>Dai tempi più antichi fino ad oggi presso i vari popoli si trova una certa sensibilità a quella forza arcana che è presente al corso delle cose e agli avvenimenti della vita umana, ed anzi talvolta vi riconosce la Divinità suprema o il Padre. Questa sensibilità e questa conoscenza compenetrano la vita in un intimo senso religioso&gt;&gt;.</w:t>
      </w:r>
    </w:p>
    <w:p w14:paraId="597CFA3A" w14:textId="6D3C84CF" w:rsidR="008673D3" w:rsidRPr="007843F3" w:rsidRDefault="0034386C" w:rsidP="0034386C">
      <w:pPr>
        <w:pStyle w:val="Titolo3"/>
        <w:rPr>
          <w:webHidden/>
        </w:rPr>
      </w:pPr>
      <w:r>
        <w:lastRenderedPageBreak/>
        <w:t xml:space="preserve">2. Il pensiero religioso “elaborato”: </w:t>
      </w:r>
      <w:r w:rsidR="003062B5" w:rsidRPr="00813B2B">
        <w:rPr>
          <w:noProof/>
        </w:rPr>
        <w:t xml:space="preserve">dottrine, precetti di vita </w:t>
      </w:r>
      <w:r>
        <w:rPr>
          <w:noProof/>
        </w:rPr>
        <w:t xml:space="preserve">e </w:t>
      </w:r>
      <w:r w:rsidR="003062B5" w:rsidRPr="00813B2B">
        <w:rPr>
          <w:noProof/>
        </w:rPr>
        <w:t>riti sacri</w:t>
      </w:r>
    </w:p>
    <w:p w14:paraId="5318C539" w14:textId="28C63206" w:rsidR="00082334" w:rsidRDefault="0034386C" w:rsidP="00B77EF8">
      <w:pPr>
        <w:pStyle w:val="Sommario2"/>
        <w:spacing w:after="100" w:afterAutospacing="1"/>
        <w:rPr>
          <w:noProof/>
        </w:rPr>
      </w:pPr>
      <w:r>
        <w:rPr>
          <w:noProof/>
        </w:rPr>
        <w:t xml:space="preserve">Cfr. NA 2 </w:t>
      </w:r>
      <w:r w:rsidRPr="0034386C">
        <w:rPr>
          <w:noProof/>
        </w:rPr>
        <w:t>&lt;&lt;</w:t>
      </w:r>
      <w:r w:rsidRPr="00B77EF8">
        <w:rPr>
          <w:i/>
          <w:iCs/>
          <w:noProof/>
        </w:rPr>
        <w:t>Quanto alle religioni legate al progresso della cultura, esse si sforzano di rispondere alle stesse questioni con nozioni più raffinate e con un linguaggio più elaborato. … Ugualmente anche le altre religioni che si trovano nel mondo intero si sforzano di superare, in vari modi, l'inquietudine del cuore umano proponendo delle vie, cioè dottrine, precetti di vita e riti sacri</w:t>
      </w:r>
      <w:r w:rsidRPr="0034386C">
        <w:rPr>
          <w:noProof/>
        </w:rPr>
        <w:t>&gt;&gt;.</w:t>
      </w:r>
    </w:p>
    <w:p w14:paraId="1D27DE18" w14:textId="77777777" w:rsidR="00D06F0E" w:rsidRPr="00184188" w:rsidRDefault="00D06F0E" w:rsidP="00D06F0E">
      <w:pPr>
        <w:rPr>
          <w:b/>
          <w:bCs/>
          <w:u w:val="single"/>
        </w:rPr>
      </w:pPr>
      <w:r w:rsidRPr="00184188">
        <w:rPr>
          <w:b/>
          <w:bCs/>
          <w:u w:val="single"/>
        </w:rPr>
        <w:t>Bibliografia</w:t>
      </w:r>
    </w:p>
    <w:p w14:paraId="1D8010C5" w14:textId="77777777" w:rsidR="00D06F0E" w:rsidRPr="00B77EF8" w:rsidRDefault="00D06F0E" w:rsidP="00D06F0E">
      <w:pPr>
        <w:spacing w:after="0"/>
      </w:pPr>
      <w:r>
        <w:t xml:space="preserve">CONCILIO ECUMENICO VATICANO II, Dichiarazione </w:t>
      </w:r>
      <w:r w:rsidRPr="00C357FF">
        <w:rPr>
          <w:i/>
          <w:iCs/>
        </w:rPr>
        <w:t>Nostra Aetate</w:t>
      </w:r>
      <w:r>
        <w:rPr>
          <w:i/>
          <w:iCs/>
        </w:rPr>
        <w:t xml:space="preserve">, </w:t>
      </w:r>
      <w:r>
        <w:t>28 ottobre 1965.</w:t>
      </w:r>
    </w:p>
    <w:p w14:paraId="6DD7D18A" w14:textId="77777777" w:rsidR="00D06F0E" w:rsidRDefault="00D06F0E" w:rsidP="00D06F0E">
      <w:pPr>
        <w:spacing w:after="0"/>
      </w:pPr>
      <w:r>
        <w:t xml:space="preserve">TRIANNI PAOLO, </w:t>
      </w:r>
      <w:r>
        <w:rPr>
          <w:i/>
          <w:iCs/>
        </w:rPr>
        <w:t xml:space="preserve">Nostra aetate. Alle radici del dialogo interreligioso, </w:t>
      </w:r>
      <w:r>
        <w:t>Lateran Press, 2016</w:t>
      </w:r>
    </w:p>
    <w:p w14:paraId="4C0A885F" w14:textId="77777777" w:rsidR="00EB7C15" w:rsidRDefault="00EB7C15" w:rsidP="00EB7C15">
      <w:pPr>
        <w:spacing w:after="0"/>
        <w:rPr>
          <w:b/>
          <w:bCs/>
          <w:i/>
          <w:iCs/>
        </w:rPr>
      </w:pPr>
    </w:p>
    <w:p w14:paraId="29AD935A" w14:textId="6DB82258" w:rsidR="00EB7C15" w:rsidRPr="00F46527" w:rsidRDefault="00EB7C15" w:rsidP="00EB7C15">
      <w:pPr>
        <w:spacing w:after="0"/>
        <w:rPr>
          <w:b/>
          <w:bCs/>
          <w:i/>
          <w:iCs/>
        </w:rPr>
      </w:pPr>
      <w:r w:rsidRPr="00F46527">
        <w:rPr>
          <w:b/>
          <w:bCs/>
          <w:i/>
          <w:iCs/>
        </w:rPr>
        <w:t>Manuali</w:t>
      </w:r>
    </w:p>
    <w:p w14:paraId="632A1D48" w14:textId="6E59F137" w:rsidR="00EB7C15" w:rsidRPr="00F46527" w:rsidRDefault="00EB7C15" w:rsidP="00EB7C15">
      <w:pPr>
        <w:spacing w:after="0"/>
      </w:pPr>
      <w:bookmarkStart w:id="0" w:name="_Hlk212801435"/>
      <w:r>
        <w:t xml:space="preserve">GUERRA MANUEL, </w:t>
      </w:r>
      <w:r>
        <w:rPr>
          <w:i/>
          <w:iCs/>
        </w:rPr>
        <w:t>Storia delle religioni,</w:t>
      </w:r>
      <w:r>
        <w:t xml:space="preserve"> Editrice La Scuola, 1993</w:t>
      </w:r>
      <w:r>
        <w:rPr>
          <w:vertAlign w:val="superscript"/>
        </w:rPr>
        <w:t>6</w:t>
      </w:r>
      <w:r>
        <w:t xml:space="preserve">; parte seconda, capp. </w:t>
      </w:r>
      <w:r>
        <w:t>1-3</w:t>
      </w:r>
      <w:r>
        <w:t>.</w:t>
      </w:r>
    </w:p>
    <w:bookmarkEnd w:id="0"/>
    <w:p w14:paraId="0B8E9B6A" w14:textId="77777777" w:rsidR="00D06F0E" w:rsidRDefault="00D06F0E" w:rsidP="00D06F0E"/>
    <w:p w14:paraId="5679E3E0" w14:textId="77777777" w:rsidR="00D06F0E" w:rsidRPr="00D06F0E" w:rsidRDefault="00D06F0E" w:rsidP="00D06F0E"/>
    <w:sectPr w:rsidR="00D06F0E" w:rsidRPr="00D06F0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678C1"/>
    <w:multiLevelType w:val="hybridMultilevel"/>
    <w:tmpl w:val="BD52647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679471B"/>
    <w:multiLevelType w:val="hybridMultilevel"/>
    <w:tmpl w:val="4F24678A"/>
    <w:lvl w:ilvl="0" w:tplc="9F864E46">
      <w:start w:val="2"/>
      <w:numFmt w:val="bullet"/>
      <w:lvlText w:val=""/>
      <w:lvlJc w:val="left"/>
      <w:pPr>
        <w:ind w:left="720" w:hanging="360"/>
      </w:pPr>
      <w:rPr>
        <w:rFonts w:ascii="Wingdings" w:eastAsiaTheme="minorHAnsi" w:hAnsi="Wingding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20E2F0B"/>
    <w:multiLevelType w:val="hybridMultilevel"/>
    <w:tmpl w:val="E6D89BD2"/>
    <w:lvl w:ilvl="0" w:tplc="6C2084AA">
      <w:start w:val="1"/>
      <w:numFmt w:val="decimal"/>
      <w:lvlText w:val="%1."/>
      <w:lvlJc w:val="left"/>
      <w:pPr>
        <w:ind w:left="720" w:hanging="360"/>
      </w:pPr>
      <w:rPr>
        <w:i w:val="0"/>
        <w:i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6106509"/>
    <w:multiLevelType w:val="hybridMultilevel"/>
    <w:tmpl w:val="D06EB38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DA75E2"/>
    <w:multiLevelType w:val="hybridMultilevel"/>
    <w:tmpl w:val="824E653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99830E3"/>
    <w:multiLevelType w:val="hybridMultilevel"/>
    <w:tmpl w:val="79AC4A5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2441032"/>
    <w:multiLevelType w:val="hybridMultilevel"/>
    <w:tmpl w:val="008C74F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729D46F7"/>
    <w:multiLevelType w:val="hybridMultilevel"/>
    <w:tmpl w:val="87DA5BE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8" w15:restartNumberingAfterBreak="0">
    <w:nsid w:val="7901651F"/>
    <w:multiLevelType w:val="hybridMultilevel"/>
    <w:tmpl w:val="C6C4D6B8"/>
    <w:lvl w:ilvl="0" w:tplc="04100013">
      <w:start w:val="1"/>
      <w:numFmt w:val="upp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7DC5379E"/>
    <w:multiLevelType w:val="hybridMultilevel"/>
    <w:tmpl w:val="F3D495E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95275750">
    <w:abstractNumId w:val="6"/>
  </w:num>
  <w:num w:numId="2" w16cid:durableId="1640958484">
    <w:abstractNumId w:val="1"/>
  </w:num>
  <w:num w:numId="3" w16cid:durableId="4329323">
    <w:abstractNumId w:val="3"/>
  </w:num>
  <w:num w:numId="4" w16cid:durableId="1091976001">
    <w:abstractNumId w:val="2"/>
  </w:num>
  <w:num w:numId="5" w16cid:durableId="2113822809">
    <w:abstractNumId w:val="8"/>
  </w:num>
  <w:num w:numId="6" w16cid:durableId="54209776">
    <w:abstractNumId w:val="7"/>
  </w:num>
  <w:num w:numId="7" w16cid:durableId="1247154916">
    <w:abstractNumId w:val="9"/>
  </w:num>
  <w:num w:numId="8" w16cid:durableId="1465585940">
    <w:abstractNumId w:val="0"/>
  </w:num>
  <w:num w:numId="9" w16cid:durableId="1302462961">
    <w:abstractNumId w:val="4"/>
  </w:num>
  <w:num w:numId="10" w16cid:durableId="17257880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3D3"/>
    <w:rsid w:val="000676DA"/>
    <w:rsid w:val="00082334"/>
    <w:rsid w:val="000F1A60"/>
    <w:rsid w:val="000F6CC7"/>
    <w:rsid w:val="00184188"/>
    <w:rsid w:val="00244AF2"/>
    <w:rsid w:val="003062B5"/>
    <w:rsid w:val="0034386C"/>
    <w:rsid w:val="005B0746"/>
    <w:rsid w:val="008673D3"/>
    <w:rsid w:val="00B708CA"/>
    <w:rsid w:val="00B77EF8"/>
    <w:rsid w:val="00D06F0E"/>
    <w:rsid w:val="00DA52D6"/>
    <w:rsid w:val="00DC7F89"/>
    <w:rsid w:val="00E802A1"/>
    <w:rsid w:val="00EB7C15"/>
    <w:rsid w:val="00EF79D8"/>
    <w:rsid w:val="00F96536"/>
    <w:rsid w:val="00FE01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3F993"/>
  <w15:chartTrackingRefBased/>
  <w15:docId w15:val="{86540089-5C73-4506-8482-B846E42AF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673D3"/>
  </w:style>
  <w:style w:type="paragraph" w:styleId="Titolo1">
    <w:name w:val="heading 1"/>
    <w:basedOn w:val="Normale"/>
    <w:next w:val="Normale"/>
    <w:link w:val="Titolo1Carattere"/>
    <w:uiPriority w:val="9"/>
    <w:qFormat/>
    <w:rsid w:val="008673D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8673D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unhideWhenUsed/>
    <w:qFormat/>
    <w:rsid w:val="003062B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Sommario1">
    <w:name w:val="toc 1"/>
    <w:basedOn w:val="Normale"/>
    <w:next w:val="Normale"/>
    <w:autoRedefine/>
    <w:uiPriority w:val="39"/>
    <w:unhideWhenUsed/>
    <w:rsid w:val="008673D3"/>
    <w:pPr>
      <w:tabs>
        <w:tab w:val="right" w:leader="dot" w:pos="9628"/>
      </w:tabs>
      <w:spacing w:after="0"/>
    </w:pPr>
    <w:rPr>
      <w:i/>
      <w:iCs/>
    </w:rPr>
  </w:style>
  <w:style w:type="paragraph" w:styleId="Sommario2">
    <w:name w:val="toc 2"/>
    <w:basedOn w:val="Normale"/>
    <w:next w:val="Normale"/>
    <w:autoRedefine/>
    <w:uiPriority w:val="39"/>
    <w:unhideWhenUsed/>
    <w:rsid w:val="005B0746"/>
    <w:pPr>
      <w:tabs>
        <w:tab w:val="right" w:leader="dot" w:pos="9628"/>
      </w:tabs>
      <w:spacing w:after="0"/>
    </w:pPr>
  </w:style>
  <w:style w:type="paragraph" w:styleId="Sommario3">
    <w:name w:val="toc 3"/>
    <w:basedOn w:val="Normale"/>
    <w:next w:val="Normale"/>
    <w:autoRedefine/>
    <w:uiPriority w:val="39"/>
    <w:unhideWhenUsed/>
    <w:rsid w:val="008673D3"/>
    <w:pPr>
      <w:tabs>
        <w:tab w:val="right" w:leader="dot" w:pos="9628"/>
      </w:tabs>
      <w:spacing w:after="0"/>
      <w:ind w:left="440"/>
    </w:pPr>
  </w:style>
  <w:style w:type="character" w:customStyle="1" w:styleId="Titolo1Carattere">
    <w:name w:val="Titolo 1 Carattere"/>
    <w:basedOn w:val="Carpredefinitoparagrafo"/>
    <w:link w:val="Titolo1"/>
    <w:uiPriority w:val="9"/>
    <w:rsid w:val="008673D3"/>
    <w:rPr>
      <w:rFonts w:asciiTheme="majorHAnsi" w:eastAsiaTheme="majorEastAsia" w:hAnsiTheme="majorHAnsi" w:cstheme="majorBidi"/>
      <w:color w:val="2F5496" w:themeColor="accent1" w:themeShade="BF"/>
      <w:sz w:val="32"/>
      <w:szCs w:val="32"/>
    </w:rPr>
  </w:style>
  <w:style w:type="character" w:customStyle="1" w:styleId="Titolo2Carattere">
    <w:name w:val="Titolo 2 Carattere"/>
    <w:basedOn w:val="Carpredefinitoparagrafo"/>
    <w:link w:val="Titolo2"/>
    <w:uiPriority w:val="9"/>
    <w:rsid w:val="008673D3"/>
    <w:rPr>
      <w:rFonts w:asciiTheme="majorHAnsi" w:eastAsiaTheme="majorEastAsia" w:hAnsiTheme="majorHAnsi" w:cstheme="majorBidi"/>
      <w:color w:val="2F5496" w:themeColor="accent1" w:themeShade="BF"/>
      <w:sz w:val="26"/>
      <w:szCs w:val="26"/>
    </w:rPr>
  </w:style>
  <w:style w:type="character" w:customStyle="1" w:styleId="Titolo3Carattere">
    <w:name w:val="Titolo 3 Carattere"/>
    <w:basedOn w:val="Carpredefinitoparagrafo"/>
    <w:link w:val="Titolo3"/>
    <w:uiPriority w:val="9"/>
    <w:rsid w:val="003062B5"/>
    <w:rPr>
      <w:rFonts w:asciiTheme="majorHAnsi" w:eastAsiaTheme="majorEastAsia" w:hAnsiTheme="majorHAnsi" w:cstheme="majorBidi"/>
      <w:color w:val="1F3763" w:themeColor="accent1" w:themeShade="7F"/>
      <w:sz w:val="24"/>
      <w:szCs w:val="24"/>
    </w:rPr>
  </w:style>
  <w:style w:type="paragraph" w:styleId="Paragrafoelenco">
    <w:name w:val="List Paragraph"/>
    <w:basedOn w:val="Normale"/>
    <w:uiPriority w:val="34"/>
    <w:qFormat/>
    <w:rsid w:val="003062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659</Words>
  <Characters>3761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Amministratore</dc:creator>
  <cp:keywords/>
  <dc:description/>
  <cp:lastModifiedBy>Amministratore</cp:lastModifiedBy>
  <cp:revision>6</cp:revision>
  <dcterms:created xsi:type="dcterms:W3CDTF">2025-10-15T08:40:00Z</dcterms:created>
  <dcterms:modified xsi:type="dcterms:W3CDTF">2025-11-05T09:40:00Z</dcterms:modified>
</cp:coreProperties>
</file>